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B30B" w14:textId="77777777" w:rsidR="00B347EB" w:rsidRDefault="00000000">
      <w:pPr>
        <w:outlineLvl w:val="0"/>
        <w:rPr>
          <w:b/>
          <w:color w:val="FF6600"/>
          <w:sz w:val="24"/>
        </w:rPr>
      </w:pPr>
      <w:r>
        <w:rPr>
          <w:b/>
          <w:noProof/>
          <w:color w:val="FF6600"/>
          <w:sz w:val="24"/>
        </w:rPr>
        <mc:AlternateContent>
          <mc:Choice Requires="wpg">
            <w:drawing>
              <wp:anchor distT="0" distB="0" distL="114300" distR="114300" simplePos="0" relativeHeight="251658240" behindDoc="0" locked="0" layoutInCell="1" allowOverlap="1" wp14:anchorId="2D9292BA" wp14:editId="6B13AAC1">
                <wp:simplePos x="0" y="0"/>
                <wp:positionH relativeFrom="margin">
                  <wp:align>right</wp:align>
                </wp:positionH>
                <wp:positionV relativeFrom="margin">
                  <wp:align>top</wp:align>
                </wp:positionV>
                <wp:extent cx="1318895" cy="71183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9"/>
                        <a:stretch/>
                      </pic:blipFill>
                      <pic:spPr bwMode="auto">
                        <a:xfrm>
                          <a:off x="0" y="0"/>
                          <a:ext cx="1318895" cy="71183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right;mso-position-vertical-relative:margin;mso-position-vertical:top;width:103.85pt;height:56.05pt;mso-wrap-distance-left:9.00pt;mso-wrap-distance-top:0.00pt;mso-wrap-distance-right:9.00pt;mso-wrap-distance-bottom:0.00pt;z-index:1;" stroked="false">
                <w10:wrap type="square"/>
                <v:imagedata r:id="rId13" o:title=""/>
                <o:lock v:ext="edit" rotation="t"/>
              </v:shape>
            </w:pict>
          </mc:Fallback>
        </mc:AlternateContent>
      </w:r>
      <w:r>
        <w:rPr>
          <w:b/>
          <w:color w:val="FF6600"/>
          <w:sz w:val="24"/>
        </w:rPr>
        <w:t>Zeitschrift für Religionskunde</w:t>
      </w:r>
    </w:p>
    <w:p w14:paraId="7A156710" w14:textId="77777777" w:rsidR="00B347EB" w:rsidRDefault="00B347EB">
      <w:pPr>
        <w:rPr>
          <w:b/>
          <w:sz w:val="28"/>
          <w:szCs w:val="28"/>
        </w:rPr>
      </w:pPr>
    </w:p>
    <w:p w14:paraId="221FC840" w14:textId="77777777" w:rsidR="00B347EB" w:rsidRDefault="00B347EB">
      <w:pPr>
        <w:rPr>
          <w:b/>
          <w:sz w:val="28"/>
          <w:szCs w:val="28"/>
        </w:rPr>
      </w:pPr>
    </w:p>
    <w:p w14:paraId="38520742" w14:textId="77777777" w:rsidR="00B347EB" w:rsidRDefault="00000000">
      <w:pPr>
        <w:outlineLvl w:val="0"/>
        <w:rPr>
          <w:b/>
          <w:sz w:val="28"/>
          <w:szCs w:val="28"/>
        </w:rPr>
      </w:pPr>
      <w:r>
        <w:rPr>
          <w:b/>
          <w:sz w:val="28"/>
          <w:szCs w:val="28"/>
        </w:rPr>
        <w:t>Verfassen eines Beitrags</w:t>
      </w:r>
    </w:p>
    <w:p w14:paraId="3DED37CF" w14:textId="77777777" w:rsidR="00B347EB" w:rsidRDefault="00B347EB">
      <w:pPr>
        <w:rPr>
          <w:b/>
        </w:rPr>
      </w:pPr>
    </w:p>
    <w:p w14:paraId="5082C8F4" w14:textId="77777777" w:rsidR="00B347EB" w:rsidRDefault="00000000">
      <w:pPr>
        <w:rPr>
          <w:bCs/>
        </w:rPr>
      </w:pPr>
      <w:r>
        <w:rPr>
          <w:bCs/>
        </w:rPr>
        <w:t xml:space="preserve">Sehr geehrte:r Autor:in </w:t>
      </w:r>
    </w:p>
    <w:p w14:paraId="446420CA" w14:textId="77777777" w:rsidR="00B347EB" w:rsidRDefault="00B347EB">
      <w:pPr>
        <w:rPr>
          <w:bCs/>
        </w:rPr>
      </w:pPr>
    </w:p>
    <w:p w14:paraId="504AD1A7" w14:textId="77777777" w:rsidR="00B347EB" w:rsidRDefault="00000000">
      <w:r>
        <w:rPr>
          <w:bCs/>
        </w:rPr>
        <w:t xml:space="preserve">Wir freuen uns, dass Sie einen Beitrag für unsere Zeitschrift verfassen möchten. Wir bitten Sie, sich bereits bei der Erstellung Ihres Beitrags an unsere formalen Vorgaben zu halten. </w:t>
      </w:r>
      <w:r>
        <w:t>Die Zeitschrift orientiert sich grundsätzlich am APA-Style (7</w:t>
      </w:r>
      <w:r>
        <w:rPr>
          <w:vertAlign w:val="superscript"/>
        </w:rPr>
        <w:t>th</w:t>
      </w:r>
      <w:r>
        <w:t xml:space="preserve"> edition), sie nimmt die üblichen deutschsprachigen Anpassungen vor</w:t>
      </w:r>
      <w:r>
        <w:rPr>
          <w:bCs/>
        </w:rPr>
        <w:t xml:space="preserve">. </w:t>
      </w:r>
      <w:r>
        <w:t>Die Redaktion behält sich das Recht vor, zwecks einheitlicher Gestaltung Korrekturen im Text vorzunehmen sowie weitere Korrekturvorschläge zu machen.</w:t>
      </w:r>
    </w:p>
    <w:p w14:paraId="6159DF90" w14:textId="77777777" w:rsidR="00B347EB" w:rsidRDefault="00B347EB"/>
    <w:p w14:paraId="4FE286BB" w14:textId="77777777" w:rsidR="00B347EB" w:rsidRDefault="00000000">
      <w:pPr>
        <w:rPr>
          <w:bCs/>
        </w:rPr>
      </w:pPr>
      <w:r>
        <w:rPr>
          <w:bCs/>
        </w:rPr>
        <w:t xml:space="preserve">Mit freundlichen Grüssen, </w:t>
      </w:r>
    </w:p>
    <w:p w14:paraId="40579198" w14:textId="77777777" w:rsidR="00B347EB" w:rsidRDefault="00000000">
      <w:pPr>
        <w:rPr>
          <w:bCs/>
        </w:rPr>
      </w:pPr>
      <w:r>
        <w:rPr>
          <w:bCs/>
        </w:rPr>
        <w:t>Die Redaktion</w:t>
      </w:r>
    </w:p>
    <w:p w14:paraId="7A795001" w14:textId="77777777" w:rsidR="00B347EB" w:rsidRDefault="00B347EB">
      <w:pPr>
        <w:rPr>
          <w:b/>
        </w:rPr>
      </w:pPr>
    </w:p>
    <w:p w14:paraId="1AFF23C3" w14:textId="77777777" w:rsidR="00B347EB" w:rsidRDefault="00000000">
      <w:pPr>
        <w:outlineLvl w:val="0"/>
        <w:rPr>
          <w:b/>
          <w:sz w:val="24"/>
        </w:rPr>
      </w:pPr>
      <w:r>
        <w:rPr>
          <w:b/>
          <w:sz w:val="24"/>
        </w:rPr>
        <w:t>Rezension</w:t>
      </w:r>
    </w:p>
    <w:p w14:paraId="490BAACF" w14:textId="77777777" w:rsidR="00B347EB" w:rsidRDefault="00000000">
      <w:r>
        <w:t>Eine Rezension sollte maximal 10'000 Zeichen (inkl. Leerzeichen) enthalten. Sie hat keine Zusammenfassung. Sie enthält eine Abbildung des Covers des Buches, des Lehrmittels bzw. Films.</w:t>
      </w:r>
    </w:p>
    <w:p w14:paraId="5FA49F2A" w14:textId="77777777" w:rsidR="00B347EB" w:rsidRDefault="00B347EB"/>
    <w:p w14:paraId="497AF18A" w14:textId="77777777" w:rsidR="00B347EB" w:rsidRDefault="00000000">
      <w:r>
        <w:t xml:space="preserve">Der Titel der Rezension wird wie folgt angegeben: </w:t>
      </w:r>
    </w:p>
    <w:p w14:paraId="0C910876" w14:textId="77777777" w:rsidR="00B347EB" w:rsidRDefault="00000000">
      <w:r>
        <w:t xml:space="preserve">Nachname, Vorname (Jahr). Titel. Verlag (Anzahl Seiten). Die Anzahl Seiten wird angegeben mit (Zahl S.). Falls sich die Rezension auf eine Webseite, Blog oder andere Art der Publikation bezieht, bitte anstatt der Anzahl Seiten die Form der Publikation angeben. </w:t>
      </w:r>
    </w:p>
    <w:p w14:paraId="32FE5BBA" w14:textId="77777777" w:rsidR="00B347EB" w:rsidRDefault="00B347EB"/>
    <w:p w14:paraId="6311C5A3" w14:textId="77777777" w:rsidR="00B347EB" w:rsidRDefault="00000000">
      <w:r>
        <w:t>Beispiel: Gasser, Nathalie (2020). Islam, Gender, Intersektionalität. Bildungswege junger Frauen in der Schweiz. transcript (341 S.).</w:t>
      </w:r>
    </w:p>
    <w:p w14:paraId="3BD7DA9A" w14:textId="77777777" w:rsidR="00B347EB" w:rsidRDefault="00B347EB"/>
    <w:p w14:paraId="62EA1E5C" w14:textId="77777777" w:rsidR="00B347EB" w:rsidRDefault="00000000">
      <w:pPr>
        <w:outlineLvl w:val="0"/>
        <w:rPr>
          <w:b/>
          <w:sz w:val="24"/>
        </w:rPr>
      </w:pPr>
      <w:r>
        <w:rPr>
          <w:b/>
          <w:sz w:val="24"/>
        </w:rPr>
        <w:t>Artikel</w:t>
      </w:r>
    </w:p>
    <w:p w14:paraId="4A9B9626" w14:textId="77777777" w:rsidR="00B347EB" w:rsidRDefault="00B347EB">
      <w:pPr>
        <w:outlineLvl w:val="0"/>
        <w:rPr>
          <w:b/>
          <w:sz w:val="24"/>
        </w:rPr>
      </w:pPr>
    </w:p>
    <w:p w14:paraId="4DDC0AC4" w14:textId="77777777" w:rsidR="00B347EB" w:rsidRDefault="00000000">
      <w:pPr>
        <w:outlineLvl w:val="0"/>
        <w:rPr>
          <w:sz w:val="22"/>
        </w:rPr>
      </w:pPr>
      <w:r>
        <w:rPr>
          <w:b/>
          <w:sz w:val="22"/>
        </w:rPr>
        <w:t>1 Umfang des Beitrags</w:t>
      </w:r>
    </w:p>
    <w:p w14:paraId="0D95EEAD" w14:textId="77777777" w:rsidR="00B347EB" w:rsidRDefault="00000000">
      <w:r>
        <w:t>Ein Artikel soll maximal 75'000 Zeichen (inkl. Leerzeichen) enthalten. Die maximale Zeichenzahl beinhaltet Titel, Abstracts, Text und Fussnoten. Tabellen und Abbildungen sowie das Literaturverzeichnis sind nicht einbezogen. Der Artikel darf auch kürzer sein.</w:t>
      </w:r>
    </w:p>
    <w:p w14:paraId="4BF224C9" w14:textId="77777777" w:rsidR="00B347EB" w:rsidRDefault="00B347EB"/>
    <w:p w14:paraId="237A06DE" w14:textId="77777777" w:rsidR="00B347EB" w:rsidRDefault="00000000">
      <w:pPr>
        <w:outlineLvl w:val="0"/>
        <w:rPr>
          <w:b/>
          <w:sz w:val="22"/>
        </w:rPr>
      </w:pPr>
      <w:r>
        <w:rPr>
          <w:b/>
          <w:sz w:val="22"/>
        </w:rPr>
        <w:t>2 Reihenfolge und Gestaltung der Manuskriptseiten</w:t>
      </w:r>
    </w:p>
    <w:p w14:paraId="1B662FF1" w14:textId="77777777" w:rsidR="00B347EB" w:rsidRDefault="00B347EB"/>
    <w:p w14:paraId="3A49FA5B" w14:textId="77777777" w:rsidR="00B347EB" w:rsidRDefault="00000000">
      <w:pPr>
        <w:outlineLvl w:val="0"/>
        <w:rPr>
          <w:b/>
          <w:sz w:val="22"/>
        </w:rPr>
      </w:pPr>
      <w:r>
        <w:rPr>
          <w:b/>
          <w:sz w:val="22"/>
        </w:rPr>
        <w:t>2.1 Anonymisierung</w:t>
      </w:r>
    </w:p>
    <w:p w14:paraId="43164BAD" w14:textId="77777777" w:rsidR="00B347EB" w:rsidRDefault="00000000">
      <w:r>
        <w:t>Da Ihr Beitrag einem Blind-Review-Verfahren unterliegt bitte alle Informationen, die auf Sie rückschliessen lassen, anonymisieren.</w:t>
      </w:r>
    </w:p>
    <w:p w14:paraId="496204CA" w14:textId="77777777" w:rsidR="00B347EB" w:rsidRDefault="00B347EB">
      <w:pPr>
        <w:outlineLvl w:val="0"/>
        <w:rPr>
          <w:bCs/>
          <w:sz w:val="22"/>
        </w:rPr>
      </w:pPr>
    </w:p>
    <w:p w14:paraId="505E8429" w14:textId="77777777" w:rsidR="00B347EB" w:rsidRDefault="00000000">
      <w:pPr>
        <w:outlineLvl w:val="0"/>
        <w:rPr>
          <w:b/>
          <w:sz w:val="22"/>
        </w:rPr>
      </w:pPr>
      <w:r>
        <w:rPr>
          <w:b/>
          <w:sz w:val="22"/>
        </w:rPr>
        <w:t>2.2 Aufbau des Beitrags</w:t>
      </w:r>
    </w:p>
    <w:p w14:paraId="5500FD5F" w14:textId="77777777" w:rsidR="00B347EB" w:rsidRDefault="00000000">
      <w:r>
        <w:t xml:space="preserve">Der Beitrag folgt folgendem Aufbau </w:t>
      </w:r>
    </w:p>
    <w:p w14:paraId="2205159B" w14:textId="77777777" w:rsidR="00B347EB" w:rsidRDefault="00000000">
      <w:pPr>
        <w:pStyle w:val="Paragraphedeliste"/>
        <w:numPr>
          <w:ilvl w:val="0"/>
          <w:numId w:val="8"/>
        </w:numPr>
      </w:pPr>
      <w:r>
        <w:t>Titel</w:t>
      </w:r>
    </w:p>
    <w:p w14:paraId="381AAAF5" w14:textId="77777777" w:rsidR="00B347EB" w:rsidRDefault="00000000">
      <w:pPr>
        <w:pStyle w:val="Paragraphedeliste"/>
        <w:numPr>
          <w:ilvl w:val="0"/>
          <w:numId w:val="8"/>
        </w:numPr>
      </w:pPr>
      <w:r>
        <w:t xml:space="preserve">Zusammenfassung / Résumé / Abstract: maximal 4’500 Zeichen (inkl. Leerzeichen). Das Abstrakt brauchen wir in deutsch, französisch und englisch. Wir unterstützen bei der Übersetzung. </w:t>
      </w:r>
    </w:p>
    <w:p w14:paraId="721D5610" w14:textId="77777777" w:rsidR="00B347EB" w:rsidRDefault="00000000">
      <w:pPr>
        <w:pStyle w:val="Paragraphedeliste"/>
        <w:numPr>
          <w:ilvl w:val="0"/>
          <w:numId w:val="8"/>
        </w:numPr>
      </w:pPr>
      <w:r>
        <w:t>Einleitung</w:t>
      </w:r>
    </w:p>
    <w:p w14:paraId="6A7B9494" w14:textId="77777777" w:rsidR="00B347EB" w:rsidRDefault="00000000">
      <w:pPr>
        <w:pStyle w:val="Paragraphedeliste"/>
        <w:numPr>
          <w:ilvl w:val="0"/>
          <w:numId w:val="8"/>
        </w:numPr>
      </w:pPr>
      <w:r>
        <w:t>Weitere Kapitel</w:t>
      </w:r>
    </w:p>
    <w:p w14:paraId="21FFD9D8" w14:textId="77777777" w:rsidR="00B347EB" w:rsidRDefault="00000000">
      <w:pPr>
        <w:pStyle w:val="Paragraphedeliste"/>
        <w:numPr>
          <w:ilvl w:val="0"/>
          <w:numId w:val="8"/>
        </w:numPr>
      </w:pPr>
      <w:r>
        <w:t xml:space="preserve">Fazit oder Diskussion </w:t>
      </w:r>
    </w:p>
    <w:p w14:paraId="6F54F268" w14:textId="77777777" w:rsidR="00B347EB" w:rsidRDefault="00000000">
      <w:pPr>
        <w:pStyle w:val="Paragraphedeliste"/>
        <w:numPr>
          <w:ilvl w:val="0"/>
          <w:numId w:val="8"/>
        </w:numPr>
      </w:pPr>
      <w:r>
        <w:t>Über den Autor / Über die Autorin / Über die Autor:innen (3-5 Zeilen mit Ihrem Namen, kurze Beschreibung der momentanen Tätigkeit, Institution und Email-Adresse); vor dem Review bitte diesen Teil nicht ausfüllen</w:t>
      </w:r>
    </w:p>
    <w:p w14:paraId="28E46FCD" w14:textId="77777777" w:rsidR="00B347EB" w:rsidRDefault="00000000">
      <w:pPr>
        <w:pStyle w:val="Paragraphedeliste"/>
        <w:numPr>
          <w:ilvl w:val="0"/>
          <w:numId w:val="8"/>
        </w:numPr>
      </w:pPr>
      <w:r>
        <w:t>Literatur</w:t>
      </w:r>
    </w:p>
    <w:p w14:paraId="5EA1D43A" w14:textId="77777777" w:rsidR="00B347EB" w:rsidRDefault="00000000">
      <w:pPr>
        <w:pStyle w:val="Paragraphedeliste"/>
        <w:numPr>
          <w:ilvl w:val="0"/>
          <w:numId w:val="8"/>
        </w:numPr>
      </w:pPr>
      <w:r>
        <w:t>Abbildungsverzeichnis (falls vorhanden)</w:t>
      </w:r>
    </w:p>
    <w:p w14:paraId="01579D3A" w14:textId="77777777" w:rsidR="00B347EB" w:rsidRDefault="00000000">
      <w:pPr>
        <w:pStyle w:val="Paragraphedeliste"/>
        <w:numPr>
          <w:ilvl w:val="0"/>
          <w:numId w:val="8"/>
        </w:numPr>
      </w:pPr>
      <w:r>
        <w:t>Tabellenverzeichnis (falls vorhanden)</w:t>
      </w:r>
    </w:p>
    <w:p w14:paraId="1937599E" w14:textId="77777777" w:rsidR="00B347EB" w:rsidRDefault="00B347EB"/>
    <w:p w14:paraId="7B75C7EE" w14:textId="77777777" w:rsidR="00B347EB" w:rsidRDefault="00000000">
      <w:pPr>
        <w:outlineLvl w:val="0"/>
        <w:rPr>
          <w:b/>
          <w:sz w:val="22"/>
        </w:rPr>
      </w:pPr>
      <w:r>
        <w:rPr>
          <w:b/>
          <w:sz w:val="22"/>
        </w:rPr>
        <w:t>2.3 Text</w:t>
      </w:r>
    </w:p>
    <w:p w14:paraId="7083F061" w14:textId="77777777" w:rsidR="00B347EB" w:rsidRDefault="00000000">
      <w:r>
        <w:lastRenderedPageBreak/>
        <w:t xml:space="preserve">Der Text soll in einer üblichen Schrift (z.B. Times New Roman) sowie in einem Word-Format geschrieben werden. Für den Fliesstext wird die Schriftgrösse 12, für den Fussnotentext die Schriftgrösse 10 gewählt. Der Text enthält keinen Blocksatz und keine Silbentrennungen. </w:t>
      </w:r>
    </w:p>
    <w:p w14:paraId="10A9A583" w14:textId="77777777" w:rsidR="00B347EB" w:rsidRDefault="00B347EB">
      <w:pPr>
        <w:rPr>
          <w:b/>
        </w:rPr>
      </w:pPr>
    </w:p>
    <w:p w14:paraId="573F5832" w14:textId="77777777" w:rsidR="00B347EB" w:rsidRDefault="00000000">
      <w:pPr>
        <w:outlineLvl w:val="0"/>
        <w:rPr>
          <w:b/>
          <w:sz w:val="22"/>
        </w:rPr>
      </w:pPr>
      <w:r>
        <w:rPr>
          <w:b/>
          <w:sz w:val="22"/>
        </w:rPr>
        <w:t>Gliederung des Textes</w:t>
      </w:r>
    </w:p>
    <w:p w14:paraId="34276C8D" w14:textId="77777777" w:rsidR="00B347EB" w:rsidRDefault="00000000">
      <w:r>
        <w:t>Die Hauptüberschriften und die Zwischenüberschriften werden ebenfalls in Schriftgrösse 12 sowie fett geschrieben und folgendermassen nummeriert:</w:t>
      </w:r>
    </w:p>
    <w:p w14:paraId="677C36C3" w14:textId="77777777" w:rsidR="00B347EB" w:rsidRDefault="00B347EB"/>
    <w:p w14:paraId="234DB301" w14:textId="77777777" w:rsidR="00B347EB" w:rsidRDefault="00000000">
      <w:r>
        <w:t>1</w:t>
      </w:r>
    </w:p>
    <w:p w14:paraId="76D8F0DF" w14:textId="77777777" w:rsidR="00B347EB" w:rsidRDefault="00000000">
      <w:r>
        <w:t>1.1</w:t>
      </w:r>
    </w:p>
    <w:p w14:paraId="7B9D8E19" w14:textId="77777777" w:rsidR="00B347EB" w:rsidRDefault="00000000">
      <w:r>
        <w:t>1.1.1</w:t>
      </w:r>
    </w:p>
    <w:p w14:paraId="66615548" w14:textId="77777777" w:rsidR="00B347EB" w:rsidRDefault="00B347EB"/>
    <w:p w14:paraId="3F11A344" w14:textId="77777777" w:rsidR="00B347EB" w:rsidRDefault="00000000">
      <w:r>
        <w:t xml:space="preserve">Überschriften auf einer unteren Ebene werden ohne weitere Nummerierung eingefügt. </w:t>
      </w:r>
    </w:p>
    <w:p w14:paraId="22B14810" w14:textId="77777777" w:rsidR="00B347EB" w:rsidRDefault="00000000">
      <w:r>
        <w:t xml:space="preserve">Die Nummerierung beginnt mit „1 Einleitung“. </w:t>
      </w:r>
    </w:p>
    <w:p w14:paraId="062657EC" w14:textId="77777777" w:rsidR="00B347EB" w:rsidRDefault="00B347EB"/>
    <w:p w14:paraId="08079E81" w14:textId="77777777" w:rsidR="00B347EB" w:rsidRDefault="00000000">
      <w:pPr>
        <w:rPr>
          <w:b/>
          <w:sz w:val="22"/>
        </w:rPr>
      </w:pPr>
      <w:r>
        <w:rPr>
          <w:b/>
          <w:sz w:val="22"/>
        </w:rPr>
        <w:t>Hervorhebungen</w:t>
      </w:r>
    </w:p>
    <w:p w14:paraId="27585CF5" w14:textId="77777777" w:rsidR="00B347EB" w:rsidRDefault="00000000">
      <w:r>
        <w:t xml:space="preserve">Hervorhebungen sind </w:t>
      </w:r>
      <w:r>
        <w:rPr>
          <w:i/>
        </w:rPr>
        <w:t>kursiv</w:t>
      </w:r>
      <w:r>
        <w:t xml:space="preserve"> zu schreiben und werden auch so gedruckt. Mit Kursivschreibungen ist sparsam umzugehen. Unterstreichungen und Fettungen sind nicht erlaubt. Titel im Fliesstext werden in „und“ gesetzt. Beispiel: In der Lehrmittelreihe „Blickpunkt“ findet sich […]. </w:t>
      </w:r>
    </w:p>
    <w:p w14:paraId="03F2EF49" w14:textId="77777777" w:rsidR="00B347EB" w:rsidRDefault="00B347EB">
      <w:pPr>
        <w:rPr>
          <w:b/>
        </w:rPr>
      </w:pPr>
    </w:p>
    <w:p w14:paraId="19D2738D" w14:textId="77777777" w:rsidR="00B347EB" w:rsidRDefault="00000000">
      <w:pPr>
        <w:outlineLvl w:val="0"/>
        <w:rPr>
          <w:b/>
          <w:sz w:val="22"/>
        </w:rPr>
      </w:pPr>
      <w:r>
        <w:rPr>
          <w:b/>
          <w:sz w:val="22"/>
        </w:rPr>
        <w:t>Fremdsprachige Begriffe und Umschriften</w:t>
      </w:r>
    </w:p>
    <w:p w14:paraId="39A7AC42" w14:textId="77777777" w:rsidR="00B347EB" w:rsidRDefault="00000000">
      <w:r>
        <w:t xml:space="preserve">Wörter und Begriffe aus nichtdeutschen Sprachen, die nicht im Duden stehen, sind klein und </w:t>
      </w:r>
      <w:r>
        <w:rPr>
          <w:i/>
        </w:rPr>
        <w:t>kursiv</w:t>
      </w:r>
      <w:r>
        <w:t xml:space="preserve"> zu schreiben. Wörter aus nichtlateinischen Schriften werden in den in der jeweiligen Wissenschaft üblichen Umschriften geschrieben. Beispiele: </w:t>
      </w:r>
      <w:r>
        <w:rPr>
          <w:i/>
          <w:iCs/>
        </w:rPr>
        <w:t>material religion</w:t>
      </w:r>
      <w:r>
        <w:t xml:space="preserve">, </w:t>
      </w:r>
      <w:r>
        <w:rPr>
          <w:i/>
          <w:iCs/>
        </w:rPr>
        <w:t>iḫtilāf</w:t>
      </w:r>
    </w:p>
    <w:p w14:paraId="7088371E" w14:textId="77777777" w:rsidR="00B347EB" w:rsidRDefault="00B347EB"/>
    <w:p w14:paraId="34B75D41" w14:textId="77777777" w:rsidR="00B347EB" w:rsidRDefault="00000000">
      <w:pPr>
        <w:outlineLvl w:val="0"/>
        <w:rPr>
          <w:b/>
          <w:sz w:val="22"/>
        </w:rPr>
      </w:pPr>
      <w:r>
        <w:rPr>
          <w:b/>
          <w:sz w:val="22"/>
        </w:rPr>
        <w:t>Gendersensible Sprache</w:t>
      </w:r>
    </w:p>
    <w:p w14:paraId="79815AE8" w14:textId="77777777" w:rsidR="00B347EB" w:rsidRDefault="00000000">
      <w:r>
        <w:t xml:space="preserve">Die Zeitschrift verpflichtet sich einer gendersensiblen Sprache. Wird nicht ausdrücklich nur ein Geschlecht gemeint, so sind inklusive Formen (Schüler:innen) oder neutrale Formulierungen (Lehrpersonen) zu verwenden. </w:t>
      </w:r>
    </w:p>
    <w:p w14:paraId="72895D61" w14:textId="77777777" w:rsidR="00B347EB" w:rsidRDefault="00B347EB"/>
    <w:p w14:paraId="1AD0500C" w14:textId="77777777" w:rsidR="00B347EB" w:rsidRDefault="00000000">
      <w:pPr>
        <w:outlineLvl w:val="0"/>
        <w:rPr>
          <w:b/>
          <w:sz w:val="22"/>
        </w:rPr>
      </w:pPr>
      <w:r>
        <w:rPr>
          <w:b/>
          <w:sz w:val="22"/>
        </w:rPr>
        <w:t>Abkürzungen</w:t>
      </w:r>
    </w:p>
    <w:p w14:paraId="449B8EF0" w14:textId="77777777" w:rsidR="00B347EB" w:rsidRDefault="00000000">
      <w:r>
        <w:t xml:space="preserve">Gebräuchliche Abkürzungen wie „ca.“ oder „bzw.“ sind erlaubt. Abkürzungen wie z. B. werden gemäss Duden mit einem Abstand geschrieben. Andere Abkürzungen wie Namen von Institutionen, werden bei der ersten Nennung eingeführt. </w:t>
      </w:r>
    </w:p>
    <w:p w14:paraId="1EC757F8" w14:textId="77777777" w:rsidR="00B347EB" w:rsidRDefault="00000000">
      <w:pPr>
        <w:pStyle w:val="Paragraphedeliste"/>
        <w:numPr>
          <w:ilvl w:val="0"/>
          <w:numId w:val="9"/>
        </w:numPr>
      </w:pPr>
      <w:r>
        <w:t>Beispiel Fliesstext: „Der Schweizerische Nationalfonds (SNF) unterstützt diese Forschung. Der SNF hat unser Projekt bewilligt.“</w:t>
      </w:r>
    </w:p>
    <w:p w14:paraId="60868335" w14:textId="77777777" w:rsidR="00B347EB" w:rsidRDefault="00000000">
      <w:pPr>
        <w:pStyle w:val="Paragraphedeliste"/>
        <w:numPr>
          <w:ilvl w:val="0"/>
          <w:numId w:val="9"/>
        </w:numPr>
      </w:pPr>
      <w:r>
        <w:t>Beispiel Literaturverweis</w:t>
      </w:r>
    </w:p>
    <w:p w14:paraId="23647859" w14:textId="77777777" w:rsidR="00B347EB" w:rsidRDefault="00000000">
      <w:pPr>
        <w:pStyle w:val="Paragraphedeliste"/>
        <w:numPr>
          <w:ilvl w:val="1"/>
          <w:numId w:val="9"/>
        </w:numPr>
      </w:pPr>
      <w:r>
        <w:t>erste Nennung: (Deutschschweizer Erziehungsdirektoren-Konferenz [D-EDK], 2014)</w:t>
      </w:r>
    </w:p>
    <w:p w14:paraId="6069BDFB" w14:textId="77777777" w:rsidR="00B347EB" w:rsidRDefault="00000000">
      <w:pPr>
        <w:pStyle w:val="Paragraphedeliste"/>
        <w:numPr>
          <w:ilvl w:val="1"/>
          <w:numId w:val="9"/>
        </w:numPr>
      </w:pPr>
      <w:r>
        <w:t>weitere Nennungen: (D-EDK, 2014)</w:t>
      </w:r>
    </w:p>
    <w:p w14:paraId="53AA233E" w14:textId="77777777" w:rsidR="00B347EB" w:rsidRDefault="00B347EB">
      <w:pPr>
        <w:outlineLvl w:val="0"/>
        <w:rPr>
          <w:b/>
          <w:sz w:val="22"/>
        </w:rPr>
      </w:pPr>
    </w:p>
    <w:p w14:paraId="4116F24A" w14:textId="77777777" w:rsidR="00B347EB" w:rsidRDefault="00000000">
      <w:pPr>
        <w:outlineLvl w:val="0"/>
        <w:rPr>
          <w:b/>
          <w:sz w:val="22"/>
        </w:rPr>
      </w:pPr>
      <w:r>
        <w:rPr>
          <w:b/>
          <w:sz w:val="22"/>
        </w:rPr>
        <w:t>Anführungs- und Schlusszeichen</w:t>
      </w:r>
    </w:p>
    <w:p w14:paraId="2859E8E3" w14:textId="77777777" w:rsidR="00B347EB" w:rsidRDefault="00000000">
      <w:pPr>
        <w:outlineLvl w:val="0"/>
        <w:rPr>
          <w:bCs/>
          <w:szCs w:val="20"/>
        </w:rPr>
      </w:pPr>
      <w:r>
        <w:rPr>
          <w:bCs/>
          <w:szCs w:val="20"/>
        </w:rPr>
        <w:t xml:space="preserve">Im Text werden die typographischen „Anführungs- und Schlusszeichen“ gebraucht. </w:t>
      </w:r>
    </w:p>
    <w:p w14:paraId="1C480470" w14:textId="77777777" w:rsidR="00B347EB" w:rsidRDefault="00B347EB">
      <w:pPr>
        <w:outlineLvl w:val="0"/>
        <w:rPr>
          <w:bCs/>
          <w:sz w:val="22"/>
          <w:szCs w:val="22"/>
        </w:rPr>
      </w:pPr>
    </w:p>
    <w:p w14:paraId="11DF0A77" w14:textId="77777777" w:rsidR="00B347EB" w:rsidRDefault="00000000">
      <w:pPr>
        <w:outlineLvl w:val="0"/>
        <w:rPr>
          <w:b/>
          <w:sz w:val="22"/>
        </w:rPr>
      </w:pPr>
      <w:r>
        <w:rPr>
          <w:b/>
          <w:sz w:val="22"/>
        </w:rPr>
        <w:t>Aufzählungen</w:t>
      </w:r>
    </w:p>
    <w:p w14:paraId="34A13F8A" w14:textId="77777777" w:rsidR="00B347EB" w:rsidRDefault="00000000">
      <w:pPr>
        <w:outlineLvl w:val="0"/>
        <w:rPr>
          <w:bCs/>
          <w:szCs w:val="20"/>
        </w:rPr>
      </w:pPr>
      <w:r>
        <w:rPr>
          <w:bCs/>
          <w:szCs w:val="20"/>
        </w:rPr>
        <w:t>In Listen werden</w:t>
      </w:r>
    </w:p>
    <w:p w14:paraId="290F4F7A" w14:textId="77777777" w:rsidR="00B347EB" w:rsidRDefault="00000000">
      <w:pPr>
        <w:pStyle w:val="Paragraphedeliste"/>
        <w:numPr>
          <w:ilvl w:val="0"/>
          <w:numId w:val="10"/>
        </w:numPr>
        <w:outlineLvl w:val="0"/>
        <w:rPr>
          <w:bCs/>
          <w:szCs w:val="20"/>
        </w:rPr>
      </w:pPr>
      <w:r>
        <w:rPr>
          <w:bCs/>
          <w:szCs w:val="20"/>
        </w:rPr>
        <w:t>Spiegelstriche für</w:t>
      </w:r>
    </w:p>
    <w:p w14:paraId="4B68B397" w14:textId="77777777" w:rsidR="00B347EB" w:rsidRDefault="00000000">
      <w:pPr>
        <w:pStyle w:val="Paragraphedeliste"/>
        <w:numPr>
          <w:ilvl w:val="0"/>
          <w:numId w:val="10"/>
        </w:numPr>
        <w:outlineLvl w:val="0"/>
        <w:rPr>
          <w:bCs/>
          <w:szCs w:val="20"/>
        </w:rPr>
      </w:pPr>
      <w:r>
        <w:rPr>
          <w:bCs/>
          <w:szCs w:val="20"/>
        </w:rPr>
        <w:t>Aufzählungen</w:t>
      </w:r>
    </w:p>
    <w:p w14:paraId="0ABE9182" w14:textId="77777777" w:rsidR="00B347EB" w:rsidRDefault="00000000">
      <w:pPr>
        <w:pStyle w:val="Paragraphedeliste"/>
        <w:numPr>
          <w:ilvl w:val="0"/>
          <w:numId w:val="10"/>
        </w:numPr>
        <w:outlineLvl w:val="0"/>
        <w:rPr>
          <w:bCs/>
          <w:szCs w:val="20"/>
        </w:rPr>
      </w:pPr>
      <w:r>
        <w:rPr>
          <w:bCs/>
          <w:szCs w:val="20"/>
        </w:rPr>
        <w:t>verwendet</w:t>
      </w:r>
    </w:p>
    <w:p w14:paraId="4BE0E00C" w14:textId="77777777" w:rsidR="00B347EB" w:rsidRDefault="00B347EB">
      <w:pPr>
        <w:outlineLvl w:val="0"/>
        <w:rPr>
          <w:bCs/>
          <w:sz w:val="22"/>
        </w:rPr>
      </w:pPr>
    </w:p>
    <w:p w14:paraId="0D001291" w14:textId="77777777" w:rsidR="00B347EB" w:rsidRDefault="00000000">
      <w:pPr>
        <w:outlineLvl w:val="0"/>
        <w:rPr>
          <w:b/>
          <w:sz w:val="22"/>
        </w:rPr>
      </w:pPr>
      <w:r>
        <w:rPr>
          <w:b/>
          <w:sz w:val="22"/>
        </w:rPr>
        <w:t>Wörtliche Zitate</w:t>
      </w:r>
    </w:p>
    <w:p w14:paraId="56D4EEDC" w14:textId="77777777" w:rsidR="00B347EB" w:rsidRDefault="00000000">
      <w:r>
        <w:t xml:space="preserve">Kürzere Zitate (bis ca. 40 Wörter) sind im Text in Anführungszeichen zu setzen. Auslassungen im Zitat werden mit eckigen Klammern sowie drei Punkten gekennzeichnet: [...]. Einfügungen werden ebenfalls in eckige Klammern gesetzt. Beispiel: „Sie [die Lehrpersonen] nennen die Gattung des Textes.“ Eigene Hervorhebungen werden ebenfalls in eckigen Klammern gekennzeichnet. Beispiel: „Der Unterricht richtet sich an </w:t>
      </w:r>
      <w:r>
        <w:rPr>
          <w:i/>
        </w:rPr>
        <w:t xml:space="preserve">alle </w:t>
      </w:r>
      <w:r>
        <w:t>[Hervorhebung KF] Schüler:innen.“ Innerhalb eines Zitats sind die Anführungs- und Schlusszeichen in einfacher Form zu wählen. Beispiel: „Der Begriff ‚Religionskunde’ findet vermehrt Anwendung.“</w:t>
      </w:r>
    </w:p>
    <w:p w14:paraId="41DC51E0" w14:textId="77777777" w:rsidR="00B347EB" w:rsidRDefault="00B347EB"/>
    <w:p w14:paraId="3C3DE40E" w14:textId="77777777" w:rsidR="00B347EB" w:rsidRDefault="00000000">
      <w:r>
        <w:lastRenderedPageBreak/>
        <w:t xml:space="preserve">Längere Zitate (mehr als 3 Zeilen) werden wie folgt gekennzeichnet: einrücken, 1 Punkt kleinere Schrift, Quellenangabe nachfolgend, wie beispielsweise: </w:t>
      </w:r>
    </w:p>
    <w:p w14:paraId="2D62B338" w14:textId="77777777" w:rsidR="00B347EB" w:rsidRDefault="00B347EB"/>
    <w:p w14:paraId="3E8245C8" w14:textId="77777777" w:rsidR="00B347EB" w:rsidRDefault="00000000">
      <w:pPr>
        <w:ind w:left="708"/>
        <w:rPr>
          <w:sz w:val="18"/>
          <w:szCs w:val="22"/>
        </w:rPr>
      </w:pPr>
      <w:r>
        <w:rPr>
          <w:sz w:val="18"/>
          <w:szCs w:val="22"/>
        </w:rPr>
        <w:t>Der Übergang vom 20. ins 21. Jahrhundert ist mit Blick auf den Religionsunterricht in allen drei Sprachregionen der Schweiz von weitreichenden Reformbestrebungen geprägt. Diese stellen die aus dem 19. Jahrhundert übernommenen kantonalen Unterrichtsmodelle in Frage und eröffnen somit ein neues Kapitel in der Geschichte des Schulfachs. Im Rahmen der gegenwärtigen Reformbemühungen in diesem Bereich wird die Arbeitsteilung zwischen Kirchen und Staat abermals neu definiert, was in den meisten Kantonen zur Einführung eines neuen Unterrichts für alle Schülerinnen und Schüler unter der Verantwortung der öffentlichen Schule führt. (Rota &amp; Müller, 2015, S. 27)</w:t>
      </w:r>
    </w:p>
    <w:p w14:paraId="26BBECB7" w14:textId="77777777" w:rsidR="00B347EB" w:rsidRDefault="00B347EB"/>
    <w:p w14:paraId="1274E0E8" w14:textId="77777777" w:rsidR="00B347EB" w:rsidRDefault="00000000">
      <w:pPr>
        <w:outlineLvl w:val="0"/>
        <w:rPr>
          <w:b/>
          <w:sz w:val="22"/>
        </w:rPr>
      </w:pPr>
      <w:r>
        <w:rPr>
          <w:b/>
          <w:sz w:val="22"/>
        </w:rPr>
        <w:t>Abbildungen und Tabellen</w:t>
      </w:r>
    </w:p>
    <w:p w14:paraId="28E4CF24" w14:textId="77777777" w:rsidR="00B347EB" w:rsidRDefault="00000000">
      <w:r>
        <w:t xml:space="preserve">Es werden zwei Gattungen unterschieden: Abbildungen (Fotos, Schaubilder, Karten, Grafiken etc.) und Tabellen. Die Abbildungen und Tabellen sollen im Fliesstext an die entsprechende Stelle gesetzt werden (im Text mit folgendem Verweis: Tab. 1 oder Abb. 1). Tabellen und Abbildungen werden jeweils durchnummeriert. Abbildungen und Tabellen benötigen eine Bildunterschrift (nicht kursiv) und allenfalls einen Literaturverweis (entsprechend der Vorgaben für den Fliesstext). Abbildungen benötigen einen Quellenverweis (z. B. Foto: Olivia Franz-Klauser). Die vollständige Quelle von Abbildungen und Tabellen wird im jeweiligen Verzeichnis angegeben. Tabellen und Abbildungen müssen in einem separaten Dokument mitgeliefert werden. Abbildungen müssen von hoher Auflösung sein und in einem der Formate </w:t>
      </w:r>
      <w:r>
        <w:rPr>
          <w:lang w:val="de-CH"/>
        </w:rPr>
        <w:t>tif, jpg oder eps sein</w:t>
      </w:r>
      <w:r>
        <w:t xml:space="preserve">. Für die Einholung der Bild- und Abdruckrechte sind die Autor:innen selbst verantwortlich. Die Zeitschrift übernimmt dafür keine Kosten. </w:t>
      </w:r>
    </w:p>
    <w:p w14:paraId="6CEB6E05" w14:textId="77777777" w:rsidR="00B347EB" w:rsidRDefault="00B347EB"/>
    <w:p w14:paraId="1EE89CC5" w14:textId="77777777" w:rsidR="00B347EB" w:rsidRDefault="00000000">
      <w:r>
        <w:t xml:space="preserve">Beispiel: </w:t>
      </w:r>
    </w:p>
    <w:p w14:paraId="5CD2FB12" w14:textId="77777777" w:rsidR="00B347EB" w:rsidRDefault="00B347EB"/>
    <w:p w14:paraId="24F6C2A6" w14:textId="77777777" w:rsidR="00B347EB" w:rsidRDefault="00B347EB"/>
    <w:p w14:paraId="29961D5E" w14:textId="77777777" w:rsidR="00B347EB" w:rsidRDefault="00000000">
      <w:r>
        <w:rPr>
          <w:noProof/>
        </w:rPr>
        <mc:AlternateContent>
          <mc:Choice Requires="wpg">
            <w:drawing>
              <wp:inline distT="0" distB="0" distL="0" distR="0" wp14:anchorId="6C8AAF5D" wp14:editId="1F76695D">
                <wp:extent cx="5756910" cy="896620"/>
                <wp:effectExtent l="0" t="0" r="0" b="0"/>
                <wp:docPr id="2"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pic:cNvPicPr>
                      </pic:nvPicPr>
                      <pic:blipFill>
                        <a:blip r:embed="rId14"/>
                        <a:stretch/>
                      </pic:blipFill>
                      <pic:spPr bwMode="auto">
                        <a:xfrm>
                          <a:off x="0" y="0"/>
                          <a:ext cx="5756910" cy="89662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30pt;height:70.60pt;mso-wrap-distance-left:0.00pt;mso-wrap-distance-top:0.00pt;mso-wrap-distance-right:0.00pt;mso-wrap-distance-bottom:0.00pt;z-index:1;" stroked="false">
                <v:imagedata r:id="rId15" o:title=""/>
                <o:lock v:ext="edit" rotation="t"/>
              </v:shape>
            </w:pict>
          </mc:Fallback>
        </mc:AlternateContent>
      </w:r>
    </w:p>
    <w:p w14:paraId="7EF1686D" w14:textId="77777777" w:rsidR="00B347EB" w:rsidRDefault="00B347EB"/>
    <w:p w14:paraId="0E40102B" w14:textId="77777777" w:rsidR="00B347EB" w:rsidRDefault="00000000">
      <w:pPr>
        <w:rPr>
          <w:b/>
          <w:sz w:val="22"/>
        </w:rPr>
      </w:pPr>
      <w:r>
        <w:rPr>
          <w:b/>
          <w:sz w:val="22"/>
        </w:rPr>
        <w:t>2.4. Literaturverweise in Text</w:t>
      </w:r>
    </w:p>
    <w:p w14:paraId="4AB8EAC2" w14:textId="77777777" w:rsidR="00B347EB" w:rsidRDefault="00000000">
      <w:r>
        <w:t>Hinweise auf Literatur erfolgen im laufenden Text immer in Klammern. Fussnoten sollen nur in Ausnahmefällen verwendet werden. Namen und Seitenzahlen werden immer vollständig angegeben (kein f.; ff.; ebd.)</w:t>
      </w:r>
    </w:p>
    <w:p w14:paraId="3312E39A" w14:textId="77777777" w:rsidR="00B347EB" w:rsidRDefault="00B347EB"/>
    <w:p w14:paraId="76B25D97" w14:textId="77777777" w:rsidR="00B347EB" w:rsidRDefault="00000000">
      <w:pPr>
        <w:pStyle w:val="Paragraphedeliste"/>
        <w:numPr>
          <w:ilvl w:val="0"/>
          <w:numId w:val="11"/>
        </w:numPr>
      </w:pPr>
      <w:r>
        <w:t>Direkte Zitate: (Dahinden, 2010, S. 34-35)</w:t>
      </w:r>
    </w:p>
    <w:p w14:paraId="33BD511C" w14:textId="77777777" w:rsidR="00B347EB" w:rsidRDefault="00000000">
      <w:pPr>
        <w:pStyle w:val="Paragraphedeliste"/>
        <w:numPr>
          <w:ilvl w:val="0"/>
          <w:numId w:val="11"/>
        </w:numPr>
      </w:pPr>
      <w:r>
        <w:t xml:space="preserve">Paraphrasen, die eng am Original sind: (Dahinden, 2010, S. 34-35) </w:t>
      </w:r>
    </w:p>
    <w:p w14:paraId="00DD5E31" w14:textId="77777777" w:rsidR="00B347EB" w:rsidRDefault="00000000">
      <w:pPr>
        <w:pStyle w:val="Paragraphedeliste"/>
        <w:numPr>
          <w:ilvl w:val="0"/>
          <w:numId w:val="11"/>
        </w:numPr>
      </w:pPr>
      <w:r>
        <w:t>Stark zusammenfassendes Wiedergeben: Laut Dahinden (2010); (Dahinden, 2010)</w:t>
      </w:r>
    </w:p>
    <w:p w14:paraId="4773280F" w14:textId="77777777" w:rsidR="00B347EB" w:rsidRDefault="00000000">
      <w:pPr>
        <w:pStyle w:val="Paragraphedeliste"/>
        <w:numPr>
          <w:ilvl w:val="0"/>
          <w:numId w:val="12"/>
        </w:numPr>
      </w:pPr>
      <w:r>
        <w:t>Zwei Autor:innen: Laut Berger und Luckmann (1969); (Berger &amp; Luckmann, 1969)</w:t>
      </w:r>
    </w:p>
    <w:p w14:paraId="27D4B260" w14:textId="77777777" w:rsidR="00B347EB" w:rsidRDefault="00000000">
      <w:pPr>
        <w:pStyle w:val="Paragraphedeliste"/>
        <w:numPr>
          <w:ilvl w:val="0"/>
          <w:numId w:val="12"/>
        </w:numPr>
      </w:pPr>
      <w:r>
        <w:t>Ab drei Autor:innen wird ab der ersten Nennung nur die erste Person genannt, gefolgt von et al.:  Laut Bergmann et al. (1997); (Bergmann et al., 1997)</w:t>
      </w:r>
    </w:p>
    <w:p w14:paraId="25CBD389" w14:textId="77777777" w:rsidR="00B347EB" w:rsidRDefault="00000000">
      <w:pPr>
        <w:pStyle w:val="Paragraphedeliste"/>
        <w:numPr>
          <w:ilvl w:val="0"/>
          <w:numId w:val="12"/>
        </w:numPr>
      </w:pPr>
      <w:r>
        <w:t>Verweis auf mehrere Werke: (Dahinden, 2010, 2015; Frank et al., 2015)</w:t>
      </w:r>
    </w:p>
    <w:p w14:paraId="177EED43" w14:textId="77777777" w:rsidR="00B347EB" w:rsidRDefault="00000000">
      <w:pPr>
        <w:pStyle w:val="Paragraphedeliste"/>
        <w:numPr>
          <w:ilvl w:val="0"/>
          <w:numId w:val="12"/>
        </w:numPr>
      </w:pPr>
      <w:r>
        <w:t>Gruppen, Institutionen: bei der ersten Nennung (Deutschschweizer Erziehungsdirektoren-Konferenz [D-EDK], 2014); bei weiteren Nennungen (D-EDK, 2014)</w:t>
      </w:r>
    </w:p>
    <w:p w14:paraId="7B60E98B" w14:textId="77777777" w:rsidR="00B347EB" w:rsidRDefault="00000000">
      <w:pPr>
        <w:pStyle w:val="Paragraphedeliste"/>
        <w:numPr>
          <w:ilvl w:val="0"/>
          <w:numId w:val="12"/>
        </w:numPr>
      </w:pPr>
      <w:r>
        <w:t>Bei Autor:innen von Zeitungsartikeln, Blogs, etc. wird das Datum genannt: Rorbacher (2021, 12. Januar); (Rorbacher, 2021, 12. Januar)</w:t>
      </w:r>
    </w:p>
    <w:p w14:paraId="4FEC8144" w14:textId="77777777" w:rsidR="00B347EB" w:rsidRDefault="00000000">
      <w:pPr>
        <w:rPr>
          <w:lang w:val="en-US"/>
        </w:rPr>
      </w:pPr>
      <w:r>
        <w:rPr>
          <w:lang w:val="en-US"/>
        </w:rPr>
        <w:t>Sekundärzitate werden nur sparsam verwendet: „Social acceptance and the sense of belonging are important throughout life“ (Maslow, 1962, zitiert nach Goodenow, 1993, S. 80).</w:t>
      </w:r>
    </w:p>
    <w:p w14:paraId="3F27ECA3" w14:textId="77777777" w:rsidR="00B347EB" w:rsidRDefault="00B347EB">
      <w:pPr>
        <w:rPr>
          <w:lang w:val="en-US"/>
        </w:rPr>
      </w:pPr>
    </w:p>
    <w:p w14:paraId="79AE085F" w14:textId="77777777" w:rsidR="00B347EB" w:rsidRDefault="00000000">
      <w:r>
        <w:t xml:space="preserve">Im Fliesstext werden Autor:innen bei der ersten Nennung mit vollständigem Vor- und Nachnamen eingeführt. Im weiteren Text reicht dann der Nachname. Wird ein:e Autor:in über längere Passagen immer wieder mit dem gleichen Werk zitiert, genügen Verweise mit Seitenzahlen. </w:t>
      </w:r>
    </w:p>
    <w:p w14:paraId="24841894" w14:textId="77777777" w:rsidR="00B347EB" w:rsidRDefault="00000000">
      <w:r>
        <w:t xml:space="preserve">Beispiel: Nach Knörzer et al. (2019) lassen sich forschungsnahe Lehr-Lernformen aus zwei verschiedenen Perspektiven begründen: bildungstheoretisch und anthropologisch. Die bildungstheoretische Begründung stützt sich auf die Überzeugung, „dass Forschung als kulturell bedeutsame Tätigkeit und Kompetenz in einer von Wissenschaft geprägten Gesellschaft ein sinnvolles und nützliches Bildungsgut schon für Kinder darstellt“ (S. 11). </w:t>
      </w:r>
    </w:p>
    <w:p w14:paraId="7AAFA72D" w14:textId="77777777" w:rsidR="00B347EB" w:rsidRDefault="00B347EB">
      <w:pPr>
        <w:rPr>
          <w:lang w:val="de-CH"/>
        </w:rPr>
      </w:pPr>
    </w:p>
    <w:p w14:paraId="3FAD5924" w14:textId="77777777" w:rsidR="00B347EB" w:rsidRDefault="00000000">
      <w:pPr>
        <w:outlineLvl w:val="0"/>
        <w:rPr>
          <w:b/>
          <w:sz w:val="22"/>
        </w:rPr>
      </w:pPr>
      <w:r>
        <w:rPr>
          <w:b/>
          <w:sz w:val="22"/>
        </w:rPr>
        <w:lastRenderedPageBreak/>
        <w:t>3 Literaturverzeichnis</w:t>
      </w:r>
    </w:p>
    <w:p w14:paraId="78419437" w14:textId="77777777" w:rsidR="00B347EB" w:rsidRDefault="00000000">
      <w:r>
        <w:t xml:space="preserve">Das Literaturverzeichnis erfolgt am Schluss des Textes unter „Literatur“. Primär- und Sekundärquellen werden nicht unterschieden. Alle Autor:innen werden aufgeführt. Bei Verlagsnamen wird „Verlag“ üblicherweise nicht angegeben (z. B. Fischer statt Verlag Fischer).  </w:t>
      </w:r>
    </w:p>
    <w:p w14:paraId="06DFEF88" w14:textId="77777777" w:rsidR="00B347EB" w:rsidRDefault="00B347EB"/>
    <w:p w14:paraId="57F4D6F2" w14:textId="77777777" w:rsidR="00B347EB" w:rsidRDefault="00000000">
      <w:pPr>
        <w:tabs>
          <w:tab w:val="left" w:pos="0"/>
        </w:tabs>
        <w:outlineLvl w:val="0"/>
        <w:rPr>
          <w:b/>
          <w:szCs w:val="20"/>
        </w:rPr>
      </w:pPr>
      <w:r>
        <w:rPr>
          <w:b/>
          <w:szCs w:val="20"/>
        </w:rPr>
        <w:t>Anordnung der Quellen</w:t>
      </w:r>
    </w:p>
    <w:p w14:paraId="66E6F800" w14:textId="77777777" w:rsidR="00B347EB" w:rsidRDefault="00000000">
      <w:pPr>
        <w:pStyle w:val="Paragraphedeliste"/>
        <w:numPr>
          <w:ilvl w:val="0"/>
          <w:numId w:val="7"/>
        </w:numPr>
        <w:tabs>
          <w:tab w:val="left" w:pos="0"/>
        </w:tabs>
        <w:rPr>
          <w:szCs w:val="20"/>
        </w:rPr>
      </w:pPr>
      <w:r>
        <w:rPr>
          <w:szCs w:val="20"/>
        </w:rPr>
        <w:t xml:space="preserve">Die Anordnung der Quellen im Literaturverzeichnis ist alphabethisch aufsteigend (nach Erstautor:in) geordnet. </w:t>
      </w:r>
    </w:p>
    <w:p w14:paraId="45C4FC07" w14:textId="77777777" w:rsidR="00B347EB" w:rsidRDefault="00000000">
      <w:pPr>
        <w:pStyle w:val="Paragraphedeliste"/>
        <w:numPr>
          <w:ilvl w:val="0"/>
          <w:numId w:val="7"/>
        </w:numPr>
        <w:tabs>
          <w:tab w:val="left" w:pos="0"/>
        </w:tabs>
        <w:rPr>
          <w:szCs w:val="20"/>
        </w:rPr>
      </w:pPr>
      <w:r>
        <w:rPr>
          <w:szCs w:val="20"/>
        </w:rPr>
        <w:t xml:space="preserve">Wird ein:e Autor:in im Literaturverzeichnis mehrmals gelistet, so beginnt die Auflistung mit dem ältesten Werk. </w:t>
      </w:r>
    </w:p>
    <w:p w14:paraId="31058531" w14:textId="77777777" w:rsidR="00B347EB" w:rsidRDefault="00000000">
      <w:pPr>
        <w:pStyle w:val="Paragraphedeliste"/>
        <w:numPr>
          <w:ilvl w:val="0"/>
          <w:numId w:val="7"/>
        </w:numPr>
        <w:tabs>
          <w:tab w:val="left" w:pos="0"/>
        </w:tabs>
        <w:rPr>
          <w:szCs w:val="20"/>
        </w:rPr>
      </w:pPr>
      <w:r>
        <w:rPr>
          <w:szCs w:val="20"/>
        </w:rPr>
        <w:t xml:space="preserve">Hat ein:e Autor:in in Zusammenarbeit mit anderen Forscher:innen publiziert, so bestimmt sich die Reihenfolge alphabethisch nach den Nachnamen der Koautor:innen. Publikationen der:des gleichen Autor:in ohne Ko-Autor:innen werden vor Publikationen mit Koautor:innen gesetzt. </w:t>
      </w:r>
    </w:p>
    <w:p w14:paraId="3BD36AD0" w14:textId="77777777" w:rsidR="00B347EB" w:rsidRDefault="00000000">
      <w:pPr>
        <w:pStyle w:val="Paragraphedeliste"/>
        <w:numPr>
          <w:ilvl w:val="0"/>
          <w:numId w:val="7"/>
        </w:numPr>
        <w:tabs>
          <w:tab w:val="left" w:pos="0"/>
        </w:tabs>
        <w:rPr>
          <w:szCs w:val="20"/>
        </w:rPr>
      </w:pPr>
      <w:r>
        <w:rPr>
          <w:szCs w:val="20"/>
        </w:rPr>
        <w:t xml:space="preserve">Hat ein:e Autor:in im gleichen Jahr mehrere Werke publiziert, so wird dies mit man das mit Kleinbuchstaben (a, b, c, ...) gekennzeichnet. </w:t>
      </w:r>
    </w:p>
    <w:p w14:paraId="38B58860" w14:textId="77777777" w:rsidR="00B347EB" w:rsidRDefault="00B347EB"/>
    <w:p w14:paraId="273DAA69" w14:textId="77777777" w:rsidR="00B347EB" w:rsidRDefault="00B347EB"/>
    <w:p w14:paraId="03BF4854" w14:textId="77777777" w:rsidR="00B347EB" w:rsidRDefault="00000000">
      <w:pPr>
        <w:rPr>
          <w:b/>
          <w:bCs/>
          <w:sz w:val="22"/>
          <w:szCs w:val="28"/>
        </w:rPr>
      </w:pPr>
      <w:r>
        <w:rPr>
          <w:b/>
          <w:bCs/>
          <w:sz w:val="22"/>
          <w:szCs w:val="28"/>
        </w:rPr>
        <w:t>3.1 Wissenschaftliche Publikationen</w:t>
      </w:r>
    </w:p>
    <w:p w14:paraId="5C466B3F" w14:textId="77777777" w:rsidR="00B347EB" w:rsidRDefault="00B347EB">
      <w:pPr>
        <w:rPr>
          <w:b/>
        </w:rPr>
      </w:pPr>
    </w:p>
    <w:p w14:paraId="148D3A96" w14:textId="77777777" w:rsidR="00B347EB" w:rsidRDefault="00000000">
      <w:pPr>
        <w:tabs>
          <w:tab w:val="left" w:pos="0"/>
        </w:tabs>
        <w:outlineLvl w:val="0"/>
        <w:rPr>
          <w:b/>
          <w:szCs w:val="20"/>
        </w:rPr>
      </w:pPr>
      <w:r>
        <w:rPr>
          <w:b/>
          <w:szCs w:val="20"/>
        </w:rPr>
        <w:t>Buch (Monographien und Sammelbände)</w:t>
      </w:r>
    </w:p>
    <w:p w14:paraId="090D5926" w14:textId="77777777" w:rsidR="00B347EB" w:rsidRDefault="00000000">
      <w:pPr>
        <w:pStyle w:val="Corpsdetexte2"/>
        <w:tabs>
          <w:tab w:val="left" w:pos="0"/>
          <w:tab w:val="right" w:leader="dot" w:pos="9072"/>
        </w:tabs>
        <w:rPr>
          <w:rFonts w:asciiTheme="minorHAnsi" w:hAnsiTheme="minorHAnsi"/>
          <w:b w:val="0"/>
          <w:sz w:val="20"/>
        </w:rPr>
      </w:pPr>
      <w:r>
        <w:rPr>
          <w:rFonts w:asciiTheme="minorHAnsi" w:hAnsiTheme="minorHAnsi"/>
          <w:b w:val="0"/>
          <w:sz w:val="20"/>
        </w:rPr>
        <w:t xml:space="preserve">Perrig-Chiello P. &amp; Egger, St. (2008). </w:t>
      </w:r>
      <w:r>
        <w:rPr>
          <w:rFonts w:asciiTheme="minorHAnsi" w:hAnsiTheme="minorHAnsi"/>
          <w:b w:val="0"/>
          <w:i/>
          <w:sz w:val="20"/>
        </w:rPr>
        <w:t>Kindheit und Jugend in der Schweiz</w:t>
      </w:r>
      <w:r>
        <w:rPr>
          <w:rFonts w:asciiTheme="minorHAnsi" w:hAnsiTheme="minorHAnsi"/>
          <w:b w:val="0"/>
          <w:sz w:val="20"/>
        </w:rPr>
        <w:t>. Beltz.</w:t>
      </w:r>
    </w:p>
    <w:p w14:paraId="6021B34F" w14:textId="77777777" w:rsidR="00B347EB" w:rsidRDefault="00000000">
      <w:pPr>
        <w:pStyle w:val="Corpsdetexte2"/>
        <w:tabs>
          <w:tab w:val="left" w:pos="0"/>
          <w:tab w:val="right" w:leader="dot" w:pos="9072"/>
        </w:tabs>
        <w:rPr>
          <w:rFonts w:asciiTheme="minorHAnsi" w:hAnsiTheme="minorHAnsi"/>
          <w:b w:val="0"/>
          <w:sz w:val="20"/>
          <w:lang w:val="fr-CH"/>
        </w:rPr>
      </w:pPr>
      <w:r>
        <w:rPr>
          <w:rFonts w:asciiTheme="minorHAnsi" w:hAnsiTheme="minorHAnsi"/>
          <w:b w:val="0"/>
          <w:sz w:val="20"/>
        </w:rPr>
        <w:t xml:space="preserve">Baumann, M. &amp; Stolz, J. (Hrsg.). </w:t>
      </w:r>
      <w:r>
        <w:rPr>
          <w:rFonts w:asciiTheme="minorHAnsi" w:hAnsiTheme="minorHAnsi"/>
          <w:b w:val="0"/>
          <w:sz w:val="20"/>
          <w:lang w:val="fr-CH"/>
        </w:rPr>
        <w:t xml:space="preserve">(2009). </w:t>
      </w:r>
      <w:r>
        <w:rPr>
          <w:rFonts w:asciiTheme="minorHAnsi" w:hAnsiTheme="minorHAnsi"/>
          <w:b w:val="0"/>
          <w:i/>
          <w:sz w:val="20"/>
          <w:lang w:val="fr-CH"/>
        </w:rPr>
        <w:t>La nouvelle Suisse religieuse. Risques et chances de sa diversité.</w:t>
      </w:r>
      <w:r>
        <w:rPr>
          <w:rFonts w:asciiTheme="minorHAnsi" w:hAnsiTheme="minorHAnsi"/>
          <w:b w:val="0"/>
          <w:sz w:val="20"/>
          <w:lang w:val="fr-CH"/>
        </w:rPr>
        <w:t xml:space="preserve"> labor et fides.</w:t>
      </w:r>
    </w:p>
    <w:p w14:paraId="07E8D9DC" w14:textId="77777777" w:rsidR="00B347EB" w:rsidRDefault="00B347EB">
      <w:pPr>
        <w:pStyle w:val="Corpsdetexte2"/>
        <w:tabs>
          <w:tab w:val="left" w:pos="0"/>
          <w:tab w:val="right" w:leader="dot" w:pos="9072"/>
        </w:tabs>
        <w:rPr>
          <w:rFonts w:asciiTheme="minorHAnsi" w:hAnsiTheme="minorHAnsi"/>
          <w:b w:val="0"/>
          <w:sz w:val="20"/>
          <w:lang w:val="fr-CH"/>
        </w:rPr>
      </w:pPr>
    </w:p>
    <w:p w14:paraId="0AFA7F94" w14:textId="77777777" w:rsidR="00B347EB" w:rsidRDefault="00000000">
      <w:pPr>
        <w:pStyle w:val="Corpsdetexte2"/>
        <w:tabs>
          <w:tab w:val="left" w:pos="0"/>
          <w:tab w:val="right" w:leader="dot" w:pos="9072"/>
        </w:tabs>
        <w:rPr>
          <w:rFonts w:asciiTheme="minorHAnsi" w:hAnsiTheme="minorHAnsi"/>
          <w:b w:val="0"/>
          <w:sz w:val="20"/>
        </w:rPr>
      </w:pPr>
      <w:r>
        <w:rPr>
          <w:rFonts w:asciiTheme="minorHAnsi" w:hAnsiTheme="minorHAnsi"/>
          <w:b w:val="0"/>
          <w:sz w:val="20"/>
        </w:rPr>
        <w:t xml:space="preserve">Otto, R. (2014 [1917]). </w:t>
      </w:r>
      <w:r>
        <w:rPr>
          <w:rFonts w:asciiTheme="minorHAnsi" w:hAnsiTheme="minorHAnsi"/>
          <w:b w:val="0"/>
          <w:i/>
          <w:iCs/>
          <w:sz w:val="20"/>
        </w:rPr>
        <w:t>Das Heilige</w:t>
      </w:r>
      <w:r>
        <w:rPr>
          <w:rFonts w:asciiTheme="minorHAnsi" w:hAnsiTheme="minorHAnsi"/>
          <w:b w:val="0"/>
          <w:sz w:val="20"/>
        </w:rPr>
        <w:t xml:space="preserve">. C.H. Beck. </w:t>
      </w:r>
    </w:p>
    <w:p w14:paraId="46FCFC26" w14:textId="77777777" w:rsidR="00B347EB" w:rsidRDefault="00B347EB">
      <w:pPr>
        <w:pStyle w:val="Corpsdetexte2"/>
        <w:tabs>
          <w:tab w:val="left" w:pos="0"/>
          <w:tab w:val="right" w:leader="dot" w:pos="9072"/>
        </w:tabs>
        <w:rPr>
          <w:rFonts w:asciiTheme="minorHAnsi" w:hAnsiTheme="minorHAnsi"/>
          <w:b w:val="0"/>
          <w:sz w:val="20"/>
        </w:rPr>
      </w:pPr>
    </w:p>
    <w:p w14:paraId="72621E29" w14:textId="77777777" w:rsidR="00B347EB" w:rsidRDefault="00000000">
      <w:pPr>
        <w:pStyle w:val="Corpsdetexte2"/>
        <w:tabs>
          <w:tab w:val="left" w:pos="0"/>
          <w:tab w:val="right" w:leader="dot" w:pos="9072"/>
        </w:tabs>
        <w:rPr>
          <w:rFonts w:asciiTheme="minorHAnsi" w:hAnsiTheme="minorHAnsi"/>
          <w:b w:val="0"/>
          <w:sz w:val="20"/>
        </w:rPr>
      </w:pPr>
      <w:r>
        <w:rPr>
          <w:rFonts w:asciiTheme="minorHAnsi" w:hAnsiTheme="minorHAnsi"/>
          <w:b w:val="0"/>
          <w:sz w:val="20"/>
        </w:rPr>
        <w:t xml:space="preserve">Flick, U. (2017). </w:t>
      </w:r>
      <w:r>
        <w:rPr>
          <w:rFonts w:asciiTheme="minorHAnsi" w:hAnsiTheme="minorHAnsi"/>
          <w:b w:val="0"/>
          <w:i/>
          <w:iCs/>
          <w:sz w:val="20"/>
        </w:rPr>
        <w:t>Qualitative Sozialforschung. Eine Einführung.</w:t>
      </w:r>
      <w:r>
        <w:rPr>
          <w:rFonts w:asciiTheme="minorHAnsi" w:hAnsiTheme="minorHAnsi"/>
          <w:b w:val="0"/>
          <w:sz w:val="20"/>
        </w:rPr>
        <w:t xml:space="preserve"> (Überarb. Aufl.). Rowohlt.</w:t>
      </w:r>
    </w:p>
    <w:p w14:paraId="392BFB5D" w14:textId="77777777" w:rsidR="00B347EB" w:rsidRDefault="00B347EB">
      <w:pPr>
        <w:tabs>
          <w:tab w:val="left" w:pos="0"/>
        </w:tabs>
        <w:rPr>
          <w:szCs w:val="20"/>
        </w:rPr>
      </w:pPr>
    </w:p>
    <w:p w14:paraId="6756EAFC" w14:textId="77777777" w:rsidR="00B347EB" w:rsidRDefault="00000000">
      <w:pPr>
        <w:widowControl w:val="0"/>
        <w:tabs>
          <w:tab w:val="left" w:pos="0"/>
        </w:tabs>
        <w:rPr>
          <w:rFonts w:cs="Times New Roman"/>
          <w:szCs w:val="20"/>
        </w:rPr>
      </w:pPr>
      <w:r>
        <w:rPr>
          <w:rFonts w:cs="Times New Roman"/>
          <w:szCs w:val="20"/>
        </w:rPr>
        <w:t xml:space="preserve">Hannemann, T., Hindriksen, A., Kenngott, E.-M. &amp; Klinkhammer, G. (Hrsg.). (2013). </w:t>
      </w:r>
      <w:r>
        <w:rPr>
          <w:rFonts w:cs="Times New Roman"/>
          <w:i/>
          <w:szCs w:val="20"/>
        </w:rPr>
        <w:t xml:space="preserve">Religionspädagogik zwischen religionswissenschaftlichen Ansprüchen und pädagogischen Erwartungen. </w:t>
      </w:r>
      <w:r>
        <w:rPr>
          <w:rFonts w:cs="Times New Roman"/>
          <w:szCs w:val="20"/>
        </w:rPr>
        <w:t xml:space="preserve">Institut für Religionswissenschaft und Religionspädagogik. </w:t>
      </w:r>
      <w:hyperlink r:id="rId16" w:tooltip="http://nbn-resolving.de/urn:nbn:de:gbv:46-00103350-11" w:history="1">
        <w:r>
          <w:rPr>
            <w:rFonts w:cs="Times New Roman"/>
            <w:szCs w:val="20"/>
          </w:rPr>
          <w:t>http://nbn-resolving.de/urn:nbn:de:gbv:46-00103350-11</w:t>
        </w:r>
      </w:hyperlink>
    </w:p>
    <w:p w14:paraId="0C81BB56" w14:textId="77777777" w:rsidR="00B347EB" w:rsidRDefault="00B347EB">
      <w:pPr>
        <w:widowControl w:val="0"/>
        <w:tabs>
          <w:tab w:val="left" w:pos="0"/>
        </w:tabs>
        <w:rPr>
          <w:szCs w:val="20"/>
        </w:rPr>
      </w:pPr>
    </w:p>
    <w:p w14:paraId="67FC9A65" w14:textId="77777777" w:rsidR="00B347EB" w:rsidRDefault="00000000">
      <w:pPr>
        <w:widowControl w:val="0"/>
        <w:tabs>
          <w:tab w:val="left" w:pos="0"/>
        </w:tabs>
        <w:outlineLvl w:val="0"/>
        <w:rPr>
          <w:b/>
          <w:szCs w:val="20"/>
        </w:rPr>
      </w:pPr>
      <w:r>
        <w:rPr>
          <w:b/>
          <w:szCs w:val="20"/>
        </w:rPr>
        <w:t>Aufsätze in Sammelbänden</w:t>
      </w:r>
    </w:p>
    <w:p w14:paraId="60BC11D2" w14:textId="77777777" w:rsidR="00B347EB" w:rsidRDefault="00000000">
      <w:pPr>
        <w:tabs>
          <w:tab w:val="left" w:pos="0"/>
        </w:tabs>
        <w:rPr>
          <w:szCs w:val="20"/>
        </w:rPr>
      </w:pPr>
      <w:r>
        <w:rPr>
          <w:szCs w:val="20"/>
        </w:rPr>
        <w:t xml:space="preserve">Alberts, W. (2012). Religionswissenschaft und Religionsunterricht. In M. Stausberg (Hrsg.), </w:t>
      </w:r>
      <w:r>
        <w:rPr>
          <w:i/>
          <w:szCs w:val="20"/>
        </w:rPr>
        <w:t>Religionswissenschaft</w:t>
      </w:r>
      <w:r>
        <w:rPr>
          <w:szCs w:val="20"/>
        </w:rPr>
        <w:t xml:space="preserve"> (S. 299-312). De Gruyter.</w:t>
      </w:r>
    </w:p>
    <w:p w14:paraId="2A048C2B" w14:textId="77777777" w:rsidR="00B347EB" w:rsidRDefault="00B347EB">
      <w:pPr>
        <w:tabs>
          <w:tab w:val="left" w:pos="0"/>
        </w:tabs>
        <w:rPr>
          <w:szCs w:val="20"/>
        </w:rPr>
      </w:pPr>
    </w:p>
    <w:p w14:paraId="0B821029" w14:textId="77777777" w:rsidR="00B347EB" w:rsidRDefault="00000000">
      <w:pPr>
        <w:tabs>
          <w:tab w:val="left" w:pos="0"/>
        </w:tabs>
        <w:outlineLvl w:val="0"/>
        <w:rPr>
          <w:b/>
        </w:rPr>
      </w:pPr>
      <w:r>
        <w:rPr>
          <w:b/>
        </w:rPr>
        <w:t>Aufsätze in Zeitschriften</w:t>
      </w:r>
    </w:p>
    <w:p w14:paraId="17B2B3C3" w14:textId="77777777" w:rsidR="00B347EB" w:rsidRDefault="00000000">
      <w:pPr>
        <w:tabs>
          <w:tab w:val="left" w:pos="0"/>
        </w:tabs>
        <w:rPr>
          <w:rFonts w:ascii="Times New Roman" w:hAnsi="Times New Roman" w:cs="Bookman Old Style"/>
          <w:lang w:val="en-US"/>
        </w:rPr>
      </w:pPr>
      <w:r>
        <w:rPr>
          <w:rFonts w:cs="Bookman Old Style"/>
        </w:rPr>
        <w:t xml:space="preserve">Koch, C. (2009). Das Politische dominiert. Wie Schweizer Medien über Religionen berichten. </w:t>
      </w:r>
      <w:r>
        <w:rPr>
          <w:rFonts w:cs="Bookman Old Style"/>
          <w:i/>
          <w:lang w:val="en-US"/>
        </w:rPr>
        <w:t>Communicatio Socialis, 42</w:t>
      </w:r>
      <w:r>
        <w:rPr>
          <w:rFonts w:cs="Bookman Old Style"/>
          <w:iCs/>
          <w:lang w:val="en-US"/>
        </w:rPr>
        <w:t>(4)</w:t>
      </w:r>
      <w:r>
        <w:rPr>
          <w:rFonts w:cs="Bookman Old Style"/>
          <w:lang w:val="en-US"/>
        </w:rPr>
        <w:t>, 365-381.</w:t>
      </w:r>
    </w:p>
    <w:p w14:paraId="3DA70287" w14:textId="77777777" w:rsidR="00B347EB" w:rsidRDefault="00B347EB">
      <w:pPr>
        <w:tabs>
          <w:tab w:val="left" w:pos="0"/>
        </w:tabs>
        <w:rPr>
          <w:rFonts w:ascii="Times New Roman" w:hAnsi="Times New Roman" w:cs="Bookman Old Style"/>
          <w:lang w:val="en-US"/>
        </w:rPr>
      </w:pPr>
    </w:p>
    <w:p w14:paraId="4B18C1D8" w14:textId="77777777" w:rsidR="00B347EB" w:rsidRDefault="00000000">
      <w:pPr>
        <w:tabs>
          <w:tab w:val="left" w:pos="0"/>
        </w:tabs>
        <w:rPr>
          <w:rFonts w:ascii="Times New Roman" w:hAnsi="Times New Roman"/>
          <w:lang w:val="en-US"/>
        </w:rPr>
      </w:pPr>
      <w:r>
        <w:rPr>
          <w:rFonts w:cs="Bookman Old Style"/>
          <w:lang w:val="en-US"/>
        </w:rPr>
        <w:t>Zuckermann,</w:t>
      </w:r>
      <w:r>
        <w:rPr>
          <w:lang w:val="en-US"/>
        </w:rPr>
        <w:t xml:space="preserve"> Ph. (2009). </w:t>
      </w:r>
      <w:r>
        <w:rPr>
          <w:rFonts w:cs="Times New Roman"/>
          <w:lang w:val="en-US"/>
        </w:rPr>
        <w:t xml:space="preserve">Atheism, Secularity, and Well-Being: How the Findings of Social Science Counter Negative Stereotypes and Assumptions. </w:t>
      </w:r>
      <w:r>
        <w:rPr>
          <w:i/>
          <w:lang w:val="en-US"/>
        </w:rPr>
        <w:t>Sociology Compass, 3</w:t>
      </w:r>
      <w:r>
        <w:rPr>
          <w:iCs/>
          <w:lang w:val="en-US"/>
        </w:rPr>
        <w:t>(6)</w:t>
      </w:r>
      <w:r>
        <w:rPr>
          <w:lang w:val="en-US"/>
        </w:rPr>
        <w:t>, 949–971. https://doi.org/10.1111/j.1751-9020.2009.00247.x</w:t>
      </w:r>
    </w:p>
    <w:p w14:paraId="0FD15C48" w14:textId="77777777" w:rsidR="00B347EB" w:rsidRDefault="00B347EB">
      <w:pPr>
        <w:tabs>
          <w:tab w:val="left" w:pos="0"/>
        </w:tabs>
        <w:rPr>
          <w:rFonts w:ascii="Times New Roman" w:hAnsi="Times New Roman"/>
          <w:lang w:val="en-US"/>
        </w:rPr>
      </w:pPr>
    </w:p>
    <w:p w14:paraId="6DCDDD57" w14:textId="77777777" w:rsidR="00B347EB" w:rsidRDefault="00000000">
      <w:pPr>
        <w:tabs>
          <w:tab w:val="left" w:pos="0"/>
        </w:tabs>
        <w:rPr>
          <w:rFonts w:ascii="Times New Roman" w:hAnsi="Times New Roman"/>
        </w:rPr>
      </w:pPr>
      <w:r w:rsidRPr="00A13B95">
        <w:rPr>
          <w:lang w:val="en-US"/>
        </w:rPr>
        <w:t xml:space="preserve">Bleisch, P., Desponds, S., Durisch Gauthier, N. &amp; Frank, K. (2015). Zeitschrift für Religionskunde: Begriffe, Konzepte, Programm | Revue de didactique des sciences des religions: notions, concepts, programme. </w:t>
      </w:r>
      <w:r>
        <w:rPr>
          <w:i/>
          <w:iCs/>
          <w:lang w:val="fr-CH"/>
        </w:rPr>
        <w:t>Zeitschrift für Religionskunde | Revue de didactique des sciences des religions, 1</w:t>
      </w:r>
      <w:r>
        <w:rPr>
          <w:lang w:val="fr-CH"/>
        </w:rPr>
        <w:t xml:space="preserve">, 8-26. </w:t>
      </w:r>
      <w:hyperlink r:id="rId17" w:tooltip="https://religionskunde.ch/images/Ausgaben_ZFRK/Rubriken/2015_01_zfrk_rdsr_einleitung_introduction.pdf" w:history="1">
        <w:r>
          <w:rPr>
            <w:rStyle w:val="Lienhypertexte"/>
          </w:rPr>
          <w:t>https://religionskunde.ch/images/Ausgaben_ZFRK/Rubriken/2015_01_zfrk_rdsr_einleitung_introduction.pdf</w:t>
        </w:r>
      </w:hyperlink>
    </w:p>
    <w:p w14:paraId="0DB152BC" w14:textId="77777777" w:rsidR="00B347EB" w:rsidRDefault="00B347EB">
      <w:pPr>
        <w:tabs>
          <w:tab w:val="left" w:pos="0"/>
        </w:tabs>
        <w:rPr>
          <w:rFonts w:ascii="Times New Roman" w:hAnsi="Times New Roman"/>
        </w:rPr>
      </w:pPr>
    </w:p>
    <w:p w14:paraId="66BFC100" w14:textId="77777777" w:rsidR="00B347EB" w:rsidRDefault="00000000">
      <w:pPr>
        <w:tabs>
          <w:tab w:val="left" w:pos="0"/>
        </w:tabs>
        <w:rPr>
          <w:rFonts w:ascii="Times New Roman" w:hAnsi="Times New Roman"/>
        </w:rPr>
      </w:pPr>
      <w:r>
        <w:t xml:space="preserve">Hinweis: Der Jahrgang der Zeitschrift findet sich vor der Klammer, die Nummer in der Klammer. </w:t>
      </w:r>
    </w:p>
    <w:p w14:paraId="655BFA82" w14:textId="77777777" w:rsidR="00B347EB" w:rsidRDefault="00B347EB">
      <w:pPr>
        <w:tabs>
          <w:tab w:val="left" w:pos="0"/>
        </w:tabs>
      </w:pPr>
    </w:p>
    <w:p w14:paraId="14A64171" w14:textId="77777777" w:rsidR="00B347EB" w:rsidRDefault="00000000">
      <w:pPr>
        <w:tabs>
          <w:tab w:val="left" w:pos="0"/>
        </w:tabs>
        <w:outlineLvl w:val="0"/>
        <w:rPr>
          <w:rFonts w:cs="Times New Roman"/>
          <w:b/>
        </w:rPr>
      </w:pPr>
      <w:r>
        <w:rPr>
          <w:rFonts w:cs="Times New Roman"/>
          <w:b/>
        </w:rPr>
        <w:t>Lexikonartikel</w:t>
      </w:r>
    </w:p>
    <w:p w14:paraId="49295B53" w14:textId="77777777" w:rsidR="00B347EB" w:rsidRDefault="00000000">
      <w:pPr>
        <w:tabs>
          <w:tab w:val="left" w:pos="0"/>
        </w:tabs>
        <w:rPr>
          <w:rFonts w:cs="Times New Roman"/>
          <w:bCs/>
        </w:rPr>
      </w:pPr>
      <w:r>
        <w:rPr>
          <w:rFonts w:cs="Times New Roman"/>
        </w:rPr>
        <w:t>Auffahrt, Ch. &amp; Mohr, H. (2000)</w:t>
      </w:r>
      <w:r>
        <w:rPr>
          <w:rFonts w:cs="Times New Roman"/>
          <w:bCs/>
        </w:rPr>
        <w:t xml:space="preserve">. Art. Religion. In </w:t>
      </w:r>
      <w:r>
        <w:rPr>
          <w:rFonts w:cs="Times New Roman"/>
          <w:bCs/>
          <w:i/>
        </w:rPr>
        <w:t>Metzler Lexikon Religion</w:t>
      </w:r>
      <w:r>
        <w:rPr>
          <w:rFonts w:cs="Times New Roman"/>
          <w:bCs/>
        </w:rPr>
        <w:t>, Bd. 3, hrsg. von C. Auffahrt, J. Bernhardt &amp; H. Mohr (S. 162–170). Metzler.</w:t>
      </w:r>
    </w:p>
    <w:p w14:paraId="52A15FBC" w14:textId="77777777" w:rsidR="00B347EB" w:rsidRDefault="00B347EB">
      <w:pPr>
        <w:tabs>
          <w:tab w:val="left" w:pos="0"/>
        </w:tabs>
        <w:rPr>
          <w:szCs w:val="20"/>
        </w:rPr>
      </w:pPr>
    </w:p>
    <w:p w14:paraId="13E28E4F" w14:textId="77777777" w:rsidR="00B347EB" w:rsidRDefault="00000000">
      <w:pPr>
        <w:tabs>
          <w:tab w:val="left" w:pos="0"/>
        </w:tabs>
        <w:outlineLvl w:val="0"/>
        <w:rPr>
          <w:b/>
          <w:szCs w:val="20"/>
        </w:rPr>
      </w:pPr>
      <w:r>
        <w:rPr>
          <w:b/>
          <w:szCs w:val="20"/>
        </w:rPr>
        <w:t>Online-Texte</w:t>
      </w:r>
    </w:p>
    <w:p w14:paraId="757A2C76" w14:textId="77777777" w:rsidR="00B347EB" w:rsidRDefault="00000000">
      <w:pPr>
        <w:tabs>
          <w:tab w:val="left" w:pos="0"/>
        </w:tabs>
        <w:rPr>
          <w:szCs w:val="20"/>
        </w:rPr>
      </w:pPr>
      <w:r>
        <w:rPr>
          <w:szCs w:val="20"/>
        </w:rPr>
        <w:t xml:space="preserve">Dahinden, U., Wyss, V., Keel, G. &amp; Koch, C. (2010).  </w:t>
      </w:r>
      <w:r>
        <w:rPr>
          <w:i/>
          <w:szCs w:val="20"/>
        </w:rPr>
        <w:t>Die Darstellung von Religionen in Schweizer Massenmedien. Zusammenprall der Kulturen oder Förderung des Dialogs?</w:t>
      </w:r>
      <w:r>
        <w:rPr>
          <w:szCs w:val="20"/>
        </w:rPr>
        <w:t xml:space="preserve"> </w:t>
      </w:r>
      <w:hyperlink r:id="rId18" w:tooltip="http://www.nfp58.ch/files/downloads/NFP58_Schlussbericht_DahindenU.pdf" w:history="1">
        <w:r>
          <w:rPr>
            <w:rStyle w:val="Lienhypertexte"/>
            <w:szCs w:val="20"/>
          </w:rPr>
          <w:t>http://www.nfp58.ch/files/downloads/NFP58_Schlussbericht_DahindenU.pdf</w:t>
        </w:r>
      </w:hyperlink>
    </w:p>
    <w:p w14:paraId="6B089ACF" w14:textId="77777777" w:rsidR="00B347EB" w:rsidRDefault="00B347EB">
      <w:pPr>
        <w:tabs>
          <w:tab w:val="left" w:pos="0"/>
        </w:tabs>
        <w:rPr>
          <w:szCs w:val="20"/>
        </w:rPr>
      </w:pPr>
    </w:p>
    <w:p w14:paraId="4427DF46" w14:textId="77777777" w:rsidR="00B347EB" w:rsidRDefault="00000000">
      <w:pPr>
        <w:tabs>
          <w:tab w:val="left" w:pos="0"/>
        </w:tabs>
        <w:outlineLvl w:val="0"/>
        <w:rPr>
          <w:b/>
          <w:szCs w:val="20"/>
        </w:rPr>
      </w:pPr>
      <w:r>
        <w:rPr>
          <w:b/>
          <w:szCs w:val="20"/>
        </w:rPr>
        <w:t>Hochschulschriften</w:t>
      </w:r>
    </w:p>
    <w:p w14:paraId="48AD65CF" w14:textId="77777777" w:rsidR="00B347EB" w:rsidRDefault="00000000">
      <w:pPr>
        <w:tabs>
          <w:tab w:val="left" w:pos="0"/>
        </w:tabs>
      </w:pPr>
      <w:r>
        <w:t xml:space="preserve">Raetzo, J. &amp; Rumo, C. (2020). </w:t>
      </w:r>
      <w:r>
        <w:rPr>
          <w:rFonts w:cs="Arial"/>
          <w:i/>
          <w:iCs/>
          <w:szCs w:val="22"/>
          <w:lang w:val="de-CH"/>
        </w:rPr>
        <w:t>Religiöse Vielfalt - Das Feiern von Festen mit religiösem Hintergrund in der Schule</w:t>
      </w:r>
      <w:r>
        <w:t xml:space="preserve">. (Unveröffentlichte Bachelorarbeit). Pädagogische Hochschule Freiburg. </w:t>
      </w:r>
    </w:p>
    <w:p w14:paraId="3F2786D3" w14:textId="77777777" w:rsidR="00B347EB" w:rsidRDefault="00B347EB">
      <w:pPr>
        <w:tabs>
          <w:tab w:val="left" w:pos="0"/>
        </w:tabs>
      </w:pPr>
    </w:p>
    <w:p w14:paraId="6A6C1136" w14:textId="77777777" w:rsidR="00B347EB" w:rsidRDefault="00B347EB">
      <w:pPr>
        <w:tabs>
          <w:tab w:val="left" w:pos="0"/>
        </w:tabs>
        <w:rPr>
          <w:szCs w:val="20"/>
        </w:rPr>
      </w:pPr>
    </w:p>
    <w:p w14:paraId="4EDD262C" w14:textId="77777777" w:rsidR="00B347EB" w:rsidRDefault="00000000">
      <w:pPr>
        <w:rPr>
          <w:b/>
          <w:bCs/>
        </w:rPr>
      </w:pPr>
      <w:r>
        <w:rPr>
          <w:b/>
          <w:bCs/>
        </w:rPr>
        <w:t>3.2 Nicht wissenschaftliche Publikationen</w:t>
      </w:r>
    </w:p>
    <w:p w14:paraId="150E52DC" w14:textId="77777777" w:rsidR="00B347EB" w:rsidRDefault="00000000">
      <w:r>
        <w:t xml:space="preserve">Nichtwissenschaftliche Publikationen werden grundsätzlich wie wissenschaftliche Publikationen behandelt. Folgende Regeln gelten, wer als Autor:in angegeben werden soll: </w:t>
      </w:r>
    </w:p>
    <w:p w14:paraId="618D7279" w14:textId="77777777" w:rsidR="00B347EB" w:rsidRDefault="00000000">
      <w:pPr>
        <w:pStyle w:val="Paragraphedeliste"/>
        <w:numPr>
          <w:ilvl w:val="0"/>
          <w:numId w:val="14"/>
        </w:numPr>
      </w:pPr>
      <w:r>
        <w:t>Zeitungsartikel: Journalist:in</w:t>
      </w:r>
    </w:p>
    <w:p w14:paraId="0A6D80C6" w14:textId="77777777" w:rsidR="00B347EB" w:rsidRDefault="00000000">
      <w:pPr>
        <w:pStyle w:val="Paragraphedeliste"/>
        <w:numPr>
          <w:ilvl w:val="0"/>
          <w:numId w:val="14"/>
        </w:numPr>
      </w:pPr>
      <w:r>
        <w:t>Webseite: Besitzer:in, Organisation, Institution</w:t>
      </w:r>
    </w:p>
    <w:p w14:paraId="25F1E63A" w14:textId="77777777" w:rsidR="00B347EB" w:rsidRDefault="00000000">
      <w:pPr>
        <w:pStyle w:val="Paragraphedeliste"/>
        <w:numPr>
          <w:ilvl w:val="0"/>
          <w:numId w:val="14"/>
        </w:numPr>
      </w:pPr>
      <w:r>
        <w:t>Film: Regisseur:in</w:t>
      </w:r>
    </w:p>
    <w:p w14:paraId="4C19FEAF" w14:textId="77777777" w:rsidR="00B347EB" w:rsidRDefault="00000000">
      <w:pPr>
        <w:pStyle w:val="Paragraphedeliste"/>
        <w:numPr>
          <w:ilvl w:val="0"/>
          <w:numId w:val="14"/>
        </w:numPr>
      </w:pPr>
      <w:r>
        <w:t>TV-Serie: Produktionsleitung</w:t>
      </w:r>
    </w:p>
    <w:p w14:paraId="1C4C6195" w14:textId="77777777" w:rsidR="00B347EB" w:rsidRDefault="00000000">
      <w:pPr>
        <w:pStyle w:val="Paragraphedeliste"/>
        <w:numPr>
          <w:ilvl w:val="0"/>
          <w:numId w:val="14"/>
        </w:numPr>
      </w:pPr>
      <w:r>
        <w:t>Podcast, Podium: Moderator:in</w:t>
      </w:r>
    </w:p>
    <w:p w14:paraId="39485B15" w14:textId="77777777" w:rsidR="00B347EB" w:rsidRDefault="00000000">
      <w:pPr>
        <w:pStyle w:val="Paragraphedeliste"/>
        <w:numPr>
          <w:ilvl w:val="0"/>
          <w:numId w:val="14"/>
        </w:numPr>
      </w:pPr>
      <w:r>
        <w:t>Webinar: Lehrperson</w:t>
      </w:r>
    </w:p>
    <w:p w14:paraId="27DB192F" w14:textId="77777777" w:rsidR="00B347EB" w:rsidRDefault="00000000">
      <w:pPr>
        <w:pStyle w:val="Paragraphedeliste"/>
        <w:numPr>
          <w:ilvl w:val="0"/>
          <w:numId w:val="14"/>
        </w:numPr>
      </w:pPr>
      <w:r>
        <w:t>Online-Video: Person oder Gruppe, die das Video hochgeladen hat</w:t>
      </w:r>
    </w:p>
    <w:p w14:paraId="1B61F0C6" w14:textId="77777777" w:rsidR="00B347EB" w:rsidRDefault="00000000">
      <w:pPr>
        <w:pStyle w:val="Paragraphedeliste"/>
        <w:numPr>
          <w:ilvl w:val="0"/>
          <w:numId w:val="14"/>
        </w:numPr>
      </w:pPr>
      <w:r>
        <w:t>Online-Forum: Name des Forums</w:t>
      </w:r>
    </w:p>
    <w:p w14:paraId="175EA776" w14:textId="77777777" w:rsidR="00B347EB" w:rsidRDefault="00000000">
      <w:pPr>
        <w:pStyle w:val="Paragraphedeliste"/>
        <w:numPr>
          <w:ilvl w:val="0"/>
          <w:numId w:val="14"/>
        </w:numPr>
      </w:pPr>
      <w:r>
        <w:t>Fotografie: Fotograf:in</w:t>
      </w:r>
    </w:p>
    <w:p w14:paraId="254B10F1" w14:textId="77777777" w:rsidR="00B347EB" w:rsidRDefault="00B347EB">
      <w:pPr>
        <w:tabs>
          <w:tab w:val="left" w:pos="0"/>
        </w:tabs>
        <w:outlineLvl w:val="0"/>
        <w:rPr>
          <w:b/>
          <w:szCs w:val="20"/>
        </w:rPr>
      </w:pPr>
    </w:p>
    <w:p w14:paraId="4BD5B46F" w14:textId="77777777" w:rsidR="00B347EB" w:rsidRDefault="00000000">
      <w:pPr>
        <w:tabs>
          <w:tab w:val="left" w:pos="0"/>
        </w:tabs>
        <w:outlineLvl w:val="0"/>
        <w:rPr>
          <w:b/>
          <w:szCs w:val="20"/>
        </w:rPr>
      </w:pPr>
      <w:r>
        <w:rPr>
          <w:b/>
          <w:szCs w:val="20"/>
        </w:rPr>
        <w:t>Lehrmittel</w:t>
      </w:r>
    </w:p>
    <w:p w14:paraId="6077D9B8" w14:textId="77777777" w:rsidR="00B347EB" w:rsidRDefault="00000000">
      <w:r>
        <w:t xml:space="preserve">Bernet, M., Giezendanner, H., Schmid, K., Senn, P. &amp; Zangger, M. (2013). </w:t>
      </w:r>
      <w:r>
        <w:rPr>
          <w:i/>
          <w:iCs/>
        </w:rPr>
        <w:t>Blickpunkt 2. Religion und Kultur. Mittelstufe. Kommentar</w:t>
      </w:r>
      <w:r>
        <w:t xml:space="preserve">. Lehrmittelverlag Zürich. </w:t>
      </w:r>
    </w:p>
    <w:p w14:paraId="70E8480D" w14:textId="77777777" w:rsidR="00B347EB" w:rsidRDefault="00B347EB">
      <w:pPr>
        <w:tabs>
          <w:tab w:val="left" w:pos="0"/>
        </w:tabs>
        <w:outlineLvl w:val="0"/>
        <w:rPr>
          <w:b/>
          <w:szCs w:val="20"/>
        </w:rPr>
      </w:pPr>
    </w:p>
    <w:p w14:paraId="1A20FD42" w14:textId="77777777" w:rsidR="00B347EB" w:rsidRDefault="00000000">
      <w:pPr>
        <w:tabs>
          <w:tab w:val="left" w:pos="0"/>
        </w:tabs>
        <w:outlineLvl w:val="0"/>
        <w:rPr>
          <w:b/>
          <w:szCs w:val="20"/>
        </w:rPr>
      </w:pPr>
      <w:r>
        <w:rPr>
          <w:b/>
          <w:szCs w:val="20"/>
        </w:rPr>
        <w:t>Rechtstexte und Lehrpläne</w:t>
      </w:r>
    </w:p>
    <w:p w14:paraId="7EA07B0E" w14:textId="77777777" w:rsidR="00B347EB" w:rsidRDefault="00000000">
      <w:pPr>
        <w:tabs>
          <w:tab w:val="left" w:pos="0"/>
        </w:tabs>
        <w:outlineLvl w:val="0"/>
        <w:rPr>
          <w:szCs w:val="20"/>
        </w:rPr>
      </w:pPr>
      <w:r>
        <w:rPr>
          <w:szCs w:val="20"/>
        </w:rPr>
        <w:t xml:space="preserve">Deutschschweizer Erziehungsdirektoren-Konferenz [D-EDK] (2014a). </w:t>
      </w:r>
      <w:r>
        <w:rPr>
          <w:i/>
          <w:iCs/>
          <w:szCs w:val="20"/>
        </w:rPr>
        <w:t>Lehrplan 21. Fachbereich Natur, Mensch, Gesellschaft. Didaktische Hinweise</w:t>
      </w:r>
      <w:r>
        <w:rPr>
          <w:szCs w:val="20"/>
        </w:rPr>
        <w:t>. https://v-fe.lehrplan.ch/index.php?code=e|6|3</w:t>
      </w:r>
    </w:p>
    <w:p w14:paraId="6D9DBD1F" w14:textId="77777777" w:rsidR="00B347EB" w:rsidRDefault="00B347EB">
      <w:pPr>
        <w:tabs>
          <w:tab w:val="left" w:pos="0"/>
        </w:tabs>
        <w:outlineLvl w:val="0"/>
        <w:rPr>
          <w:szCs w:val="20"/>
        </w:rPr>
      </w:pPr>
    </w:p>
    <w:p w14:paraId="576D43D3" w14:textId="77777777" w:rsidR="00B347EB" w:rsidRDefault="00000000">
      <w:pPr>
        <w:tabs>
          <w:tab w:val="left" w:pos="0"/>
        </w:tabs>
        <w:outlineLvl w:val="0"/>
        <w:rPr>
          <w:szCs w:val="20"/>
        </w:rPr>
      </w:pPr>
      <w:r>
        <w:rPr>
          <w:szCs w:val="20"/>
        </w:rPr>
        <w:t xml:space="preserve">Deutschschweizer Erziehungsdirektoren-Konferenz [D-EDK] (2014b). </w:t>
      </w:r>
      <w:r>
        <w:rPr>
          <w:i/>
          <w:iCs/>
          <w:szCs w:val="20"/>
        </w:rPr>
        <w:t>Lehrplan 21. Natur, Mensch, Gesellschaft (1./2. Zyklus)</w:t>
      </w:r>
      <w:r>
        <w:rPr>
          <w:szCs w:val="20"/>
        </w:rPr>
        <w:t>. https://v-fe.lehrplan.ch/index.php?code=b|6|1</w:t>
      </w:r>
    </w:p>
    <w:p w14:paraId="15CFCF58" w14:textId="77777777" w:rsidR="00B347EB" w:rsidRDefault="00B347EB">
      <w:pPr>
        <w:tabs>
          <w:tab w:val="left" w:pos="0"/>
        </w:tabs>
        <w:outlineLvl w:val="0"/>
        <w:rPr>
          <w:szCs w:val="20"/>
        </w:rPr>
      </w:pPr>
    </w:p>
    <w:p w14:paraId="605226B4" w14:textId="77777777" w:rsidR="00B347EB" w:rsidRDefault="00000000">
      <w:pPr>
        <w:tabs>
          <w:tab w:val="left" w:pos="0"/>
        </w:tabs>
        <w:outlineLvl w:val="0"/>
        <w:rPr>
          <w:szCs w:val="20"/>
          <w:lang w:val="de-CH"/>
        </w:rPr>
      </w:pPr>
      <w:r>
        <w:rPr>
          <w:szCs w:val="20"/>
        </w:rPr>
        <w:t xml:space="preserve">Schweizerisches Bundesgericht (1997, 12. November). </w:t>
      </w:r>
      <w:r>
        <w:rPr>
          <w:i/>
          <w:iCs/>
          <w:szCs w:val="20"/>
          <w:lang w:val="de-CH"/>
        </w:rPr>
        <w:t>BGE 123 I 296 E</w:t>
      </w:r>
      <w:r>
        <w:rPr>
          <w:szCs w:val="20"/>
          <w:lang w:val="de-CH"/>
        </w:rPr>
        <w:t>. https://www.bger.ch/ext/eurospider/live/de/php/clir/http/index.php?highlight_docid=atf%3A%2F%2F123-I-296%3Ade&amp;lang=de&amp;zoom=&amp;type=show_document</w:t>
      </w:r>
    </w:p>
    <w:p w14:paraId="4AA3A906" w14:textId="77777777" w:rsidR="00B347EB" w:rsidRDefault="00B347EB">
      <w:pPr>
        <w:tabs>
          <w:tab w:val="left" w:pos="0"/>
        </w:tabs>
        <w:outlineLvl w:val="0"/>
        <w:rPr>
          <w:szCs w:val="20"/>
          <w:lang w:val="de-CH"/>
        </w:rPr>
      </w:pPr>
    </w:p>
    <w:p w14:paraId="039818A9" w14:textId="77777777" w:rsidR="00B347EB" w:rsidRDefault="00000000">
      <w:pPr>
        <w:tabs>
          <w:tab w:val="left" w:pos="0"/>
        </w:tabs>
        <w:outlineLvl w:val="0"/>
        <w:rPr>
          <w:szCs w:val="20"/>
        </w:rPr>
      </w:pPr>
      <w:r>
        <w:rPr>
          <w:szCs w:val="20"/>
        </w:rPr>
        <w:t xml:space="preserve">Staat Freiburg (2021, 1. August). </w:t>
      </w:r>
      <w:r>
        <w:rPr>
          <w:i/>
          <w:iCs/>
          <w:szCs w:val="20"/>
        </w:rPr>
        <w:t>SGF 411.0.1 - Gesetz über die obligatorische Schule (Schulgesetz, SchG).</w:t>
      </w:r>
      <w:r>
        <w:rPr>
          <w:szCs w:val="20"/>
        </w:rPr>
        <w:t xml:space="preserve"> https://bdlf.fr.ch/app/de/texts_of_law/411.0.1</w:t>
      </w:r>
    </w:p>
    <w:p w14:paraId="7CF6B7D3" w14:textId="77777777" w:rsidR="00B347EB" w:rsidRDefault="00B347EB">
      <w:pPr>
        <w:tabs>
          <w:tab w:val="left" w:pos="0"/>
        </w:tabs>
        <w:outlineLvl w:val="0"/>
        <w:rPr>
          <w:b/>
          <w:szCs w:val="20"/>
        </w:rPr>
      </w:pPr>
    </w:p>
    <w:p w14:paraId="1FF70ED8" w14:textId="77777777" w:rsidR="00B347EB" w:rsidRDefault="00000000">
      <w:pPr>
        <w:tabs>
          <w:tab w:val="left" w:pos="0"/>
        </w:tabs>
        <w:outlineLvl w:val="0"/>
        <w:rPr>
          <w:b/>
          <w:szCs w:val="20"/>
        </w:rPr>
      </w:pPr>
      <w:r>
        <w:rPr>
          <w:b/>
          <w:szCs w:val="20"/>
        </w:rPr>
        <w:t>Zeitungsartikel</w:t>
      </w:r>
    </w:p>
    <w:p w14:paraId="64012B3D" w14:textId="77777777" w:rsidR="00B347EB" w:rsidRDefault="00000000">
      <w:pPr>
        <w:tabs>
          <w:tab w:val="left" w:pos="0"/>
        </w:tabs>
        <w:outlineLvl w:val="0"/>
        <w:rPr>
          <w:szCs w:val="20"/>
        </w:rPr>
      </w:pPr>
      <w:r>
        <w:rPr>
          <w:szCs w:val="20"/>
        </w:rPr>
        <w:t xml:space="preserve">Pabst, V. (2015, 21. Oktober). Der schrille Streit um die heilige Kuh. Eine Debatte um religiöse Toleranz hält Indien in Atem. </w:t>
      </w:r>
      <w:r>
        <w:rPr>
          <w:i/>
          <w:iCs/>
          <w:szCs w:val="20"/>
        </w:rPr>
        <w:t>Neue Zürcher Zeitung</w:t>
      </w:r>
      <w:r>
        <w:rPr>
          <w:szCs w:val="20"/>
        </w:rPr>
        <w:t>. https://www.nzz.ch/international/asien-und-pazifik/der-schrille-streit-um-die-heilige-kuh-1.18632989?reduced=true</w:t>
      </w:r>
    </w:p>
    <w:p w14:paraId="1BE4BAE6" w14:textId="77777777" w:rsidR="00B347EB" w:rsidRDefault="00B347EB">
      <w:pPr>
        <w:tabs>
          <w:tab w:val="left" w:pos="0"/>
        </w:tabs>
        <w:rPr>
          <w:szCs w:val="20"/>
        </w:rPr>
      </w:pPr>
    </w:p>
    <w:p w14:paraId="30E2C712" w14:textId="77777777" w:rsidR="00B347EB" w:rsidRDefault="00000000">
      <w:pPr>
        <w:tabs>
          <w:tab w:val="left" w:pos="0"/>
        </w:tabs>
        <w:outlineLvl w:val="0"/>
        <w:rPr>
          <w:b/>
          <w:szCs w:val="20"/>
          <w:lang w:val="fr-CH"/>
        </w:rPr>
      </w:pPr>
      <w:r>
        <w:rPr>
          <w:b/>
          <w:szCs w:val="20"/>
          <w:lang w:val="fr-CH"/>
        </w:rPr>
        <w:t>Visuelle Medien</w:t>
      </w:r>
    </w:p>
    <w:p w14:paraId="06FBDC41" w14:textId="77777777" w:rsidR="00B347EB" w:rsidRDefault="00000000">
      <w:pPr>
        <w:tabs>
          <w:tab w:val="left" w:pos="0"/>
        </w:tabs>
        <w:outlineLvl w:val="0"/>
        <w:rPr>
          <w:szCs w:val="20"/>
          <w:lang w:val="fr-CH"/>
        </w:rPr>
      </w:pPr>
      <w:r>
        <w:rPr>
          <w:szCs w:val="20"/>
          <w:lang w:val="fr-CH"/>
        </w:rPr>
        <w:t xml:space="preserve">Ferroukhi, I. (2008). </w:t>
      </w:r>
      <w:r>
        <w:rPr>
          <w:i/>
          <w:szCs w:val="20"/>
          <w:lang w:val="fr-CH"/>
        </w:rPr>
        <w:t>Le grand voyage</w:t>
      </w:r>
      <w:r>
        <w:rPr>
          <w:szCs w:val="20"/>
          <w:lang w:val="fr-CH"/>
        </w:rPr>
        <w:t>. trigon-film.</w:t>
      </w:r>
    </w:p>
    <w:p w14:paraId="073D4D82" w14:textId="77777777" w:rsidR="00B347EB" w:rsidRDefault="00B347EB">
      <w:pPr>
        <w:tabs>
          <w:tab w:val="left" w:pos="0"/>
        </w:tabs>
        <w:outlineLvl w:val="0"/>
        <w:rPr>
          <w:szCs w:val="20"/>
          <w:lang w:val="fr-CH"/>
        </w:rPr>
      </w:pPr>
    </w:p>
    <w:p w14:paraId="55D327ED" w14:textId="77777777" w:rsidR="00B347EB" w:rsidRDefault="00B347EB">
      <w:pPr>
        <w:rPr>
          <w:lang w:val="fr-CH"/>
        </w:rPr>
      </w:pPr>
    </w:p>
    <w:p w14:paraId="20AF95AD" w14:textId="77777777" w:rsidR="00B347EB" w:rsidRDefault="00B347EB">
      <w:pPr>
        <w:rPr>
          <w:lang w:val="fr-CH"/>
        </w:rPr>
      </w:pPr>
    </w:p>
    <w:p w14:paraId="0B0DDAE1" w14:textId="77777777" w:rsidR="00B347EB" w:rsidRDefault="00000000">
      <w:pPr>
        <w:ind w:left="2124" w:firstLine="708"/>
        <w:outlineLvl w:val="0"/>
      </w:pPr>
      <w:r>
        <w:rPr>
          <w:lang w:val="fr-CH"/>
        </w:rPr>
        <w:tab/>
      </w:r>
      <w:r>
        <w:rPr>
          <w:lang w:val="fr-CH"/>
        </w:rPr>
        <w:tab/>
        <w:t xml:space="preserve">               </w:t>
      </w:r>
      <w:r>
        <w:rPr>
          <w:lang w:val="fr-CH"/>
        </w:rPr>
        <w:tab/>
      </w:r>
      <w:r>
        <w:rPr>
          <w:lang w:val="fr-CH"/>
        </w:rPr>
        <w:tab/>
      </w:r>
      <w:r>
        <w:rPr>
          <w:lang w:val="fr-CH"/>
        </w:rPr>
        <w:tab/>
        <w:t xml:space="preserve"> </w:t>
      </w:r>
      <w:r>
        <w:t>Redaktion, Januar 2023</w:t>
      </w:r>
    </w:p>
    <w:sectPr w:rsidR="00B347EB">
      <w:footerReference w:type="even" r:id="rId19"/>
      <w:footerReference w:type="default" r:id="rId2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AD9E" w14:textId="77777777" w:rsidR="00705B05" w:rsidRDefault="00705B05">
      <w:r>
        <w:separator/>
      </w:r>
    </w:p>
  </w:endnote>
  <w:endnote w:type="continuationSeparator" w:id="0">
    <w:p w14:paraId="5A42D5C6" w14:textId="77777777" w:rsidR="00705B05" w:rsidRDefault="0070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0FFC" w14:textId="77777777" w:rsidR="00B347EB"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41EF6A" w14:textId="77777777" w:rsidR="00B347EB" w:rsidRDefault="00B347E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81B7" w14:textId="77777777" w:rsidR="00B347EB"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76B40C50" w14:textId="77777777" w:rsidR="00B347EB" w:rsidRDefault="00B347E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1F26" w14:textId="77777777" w:rsidR="00705B05" w:rsidRDefault="00705B05">
      <w:r>
        <w:separator/>
      </w:r>
    </w:p>
  </w:footnote>
  <w:footnote w:type="continuationSeparator" w:id="0">
    <w:p w14:paraId="4A82CB50" w14:textId="77777777" w:rsidR="00705B05" w:rsidRDefault="0070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ADE"/>
    <w:multiLevelType w:val="multilevel"/>
    <w:tmpl w:val="2D9AE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E11E77"/>
    <w:multiLevelType w:val="multilevel"/>
    <w:tmpl w:val="E31C4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2749FE"/>
    <w:multiLevelType w:val="multilevel"/>
    <w:tmpl w:val="C486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425544"/>
    <w:multiLevelType w:val="multilevel"/>
    <w:tmpl w:val="9C226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10549B"/>
    <w:multiLevelType w:val="multilevel"/>
    <w:tmpl w:val="22069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726E9E"/>
    <w:multiLevelType w:val="multilevel"/>
    <w:tmpl w:val="008A3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CF3B6F"/>
    <w:multiLevelType w:val="multilevel"/>
    <w:tmpl w:val="B2C6F4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C04054F"/>
    <w:multiLevelType w:val="multilevel"/>
    <w:tmpl w:val="8A80F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AE7E7D"/>
    <w:multiLevelType w:val="multilevel"/>
    <w:tmpl w:val="B3CE7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5E1EC2"/>
    <w:multiLevelType w:val="multilevel"/>
    <w:tmpl w:val="7EA29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91220C"/>
    <w:multiLevelType w:val="multilevel"/>
    <w:tmpl w:val="D68429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3904DB"/>
    <w:multiLevelType w:val="multilevel"/>
    <w:tmpl w:val="C56A0428"/>
    <w:lvl w:ilvl="0">
      <w:start w:val="2"/>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DE49E1"/>
    <w:multiLevelType w:val="multilevel"/>
    <w:tmpl w:val="E73C7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A55900"/>
    <w:multiLevelType w:val="multilevel"/>
    <w:tmpl w:val="3C723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03243">
    <w:abstractNumId w:val="2"/>
  </w:num>
  <w:num w:numId="2" w16cid:durableId="1400904518">
    <w:abstractNumId w:val="3"/>
  </w:num>
  <w:num w:numId="3" w16cid:durableId="1085997209">
    <w:abstractNumId w:val="6"/>
  </w:num>
  <w:num w:numId="4" w16cid:durableId="507477453">
    <w:abstractNumId w:val="10"/>
  </w:num>
  <w:num w:numId="5" w16cid:durableId="833300641">
    <w:abstractNumId w:val="8"/>
  </w:num>
  <w:num w:numId="6" w16cid:durableId="2097432545">
    <w:abstractNumId w:val="11"/>
  </w:num>
  <w:num w:numId="7" w16cid:durableId="1646813466">
    <w:abstractNumId w:val="7"/>
  </w:num>
  <w:num w:numId="8" w16cid:durableId="1005013618">
    <w:abstractNumId w:val="9"/>
  </w:num>
  <w:num w:numId="9" w16cid:durableId="1346444742">
    <w:abstractNumId w:val="12"/>
  </w:num>
  <w:num w:numId="10" w16cid:durableId="371660445">
    <w:abstractNumId w:val="5"/>
  </w:num>
  <w:num w:numId="11" w16cid:durableId="1616477719">
    <w:abstractNumId w:val="0"/>
  </w:num>
  <w:num w:numId="12" w16cid:durableId="1584217659">
    <w:abstractNumId w:val="13"/>
  </w:num>
  <w:num w:numId="13" w16cid:durableId="363750628">
    <w:abstractNumId w:val="1"/>
  </w:num>
  <w:num w:numId="14" w16cid:durableId="131668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EB"/>
    <w:rsid w:val="00705B05"/>
    <w:rsid w:val="00A13B95"/>
    <w:rsid w:val="00B347EB"/>
    <w:rsid w:val="00DC540A"/>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261F"/>
  <w15:docId w15:val="{DDDF58C1-FAB3-F546-86BD-ECB89786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de-CH"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de-CH" w:eastAsia="de-CH"/>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de-CH" w:eastAsia="de-CH"/>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de-CH" w:eastAsia="de-CH"/>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de-CH" w:eastAsia="de-CH"/>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de-CH" w:eastAsia="de-CH"/>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de-CH" w:eastAsia="de-CH"/>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Pr>
      <w:rFonts w:ascii="Lucida Grande" w:hAnsi="Lucida Grande" w:cs="Lucida Grande"/>
      <w:sz w:val="18"/>
      <w:szCs w:val="18"/>
    </w:rPr>
  </w:style>
  <w:style w:type="paragraph" w:styleId="Corpsdetexte2">
    <w:name w:val="Body Text 2"/>
    <w:basedOn w:val="Normal"/>
    <w:link w:val="Corpsdetexte2Car"/>
    <w:rPr>
      <w:rFonts w:ascii="Times" w:eastAsia="Times" w:hAnsi="Times" w:cs="Times New Roman"/>
      <w:b/>
      <w:sz w:val="22"/>
      <w:szCs w:val="20"/>
      <w:lang w:eastAsia="de-DE"/>
    </w:rPr>
  </w:style>
  <w:style w:type="character" w:customStyle="1" w:styleId="Corpsdetexte2Car">
    <w:name w:val="Corps de texte 2 Car"/>
    <w:basedOn w:val="Policepardfaut"/>
    <w:link w:val="Corpsdetexte2"/>
    <w:rPr>
      <w:rFonts w:ascii="Times" w:eastAsia="Times" w:hAnsi="Times" w:cs="Times New Roman"/>
      <w:b/>
      <w:sz w:val="22"/>
      <w:szCs w:val="20"/>
      <w:lang w:eastAsia="de-DE"/>
    </w:rPr>
  </w:style>
  <w:style w:type="character" w:styleId="Lienhypertexte">
    <w:name w:val="Hyperlink"/>
    <w:basedOn w:val="Policepardfaut"/>
    <w:uiPriority w:val="99"/>
    <w:unhideWhenUsed/>
    <w:rPr>
      <w:color w:val="0000FF" w:themeColor="hyperlink"/>
      <w:u w:val="single"/>
    </w:r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szCs w:val="20"/>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uiPriority w:val="34"/>
    <w:qFormat/>
    <w:pPr>
      <w:ind w:left="720"/>
      <w:contextualSpacing/>
    </w:p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sz w:val="20"/>
    </w:rPr>
  </w:style>
  <w:style w:type="character" w:styleId="Numrodepage">
    <w:name w:val="page number"/>
    <w:basedOn w:val="Policepardfaut"/>
    <w:uiPriority w:val="99"/>
    <w:semiHidden/>
    <w:unhideWhenUsed/>
  </w:style>
  <w:style w:type="character" w:styleId="Lienhypertextesuivivisit">
    <w:name w:val="FollowedHyperlink"/>
    <w:basedOn w:val="Policepardfaut"/>
    <w:uiPriority w:val="99"/>
    <w:semiHidden/>
    <w:unhideWhenUsed/>
    <w:rPr>
      <w:color w:val="800080" w:themeColor="followedHyperlink"/>
      <w:u w:val="single"/>
    </w:rPr>
  </w:style>
  <w:style w:type="paragraph" w:styleId="Rvision">
    <w:name w:val="Revision"/>
    <w:hidden/>
    <w:uiPriority w:val="99"/>
    <w:semiHidden/>
    <w:rPr>
      <w:sz w:val="20"/>
    </w:rPr>
  </w:style>
  <w:style w:type="paragraph" w:styleId="Explorateurdedocuments">
    <w:name w:val="Document Map"/>
    <w:basedOn w:val="Normal"/>
    <w:link w:val="ExplorateurdedocumentsCar"/>
    <w:uiPriority w:val="99"/>
    <w:semiHidden/>
    <w:unhideWhenUsed/>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Pr>
      <w:rFonts w:ascii="Times New Roman" w:hAnsi="Times New Roman" w:cs="Times New Roman"/>
    </w:rPr>
  </w:style>
  <w:style w:type="paragraph" w:customStyle="1" w:styleId="Default">
    <w:name w:val="Default"/>
    <w:rPr>
      <w:rFonts w:ascii="Open Sans" w:hAnsi="Open Sans" w:cs="Open Sans"/>
      <w:color w:val="000000"/>
      <w:lang w:val="de-CH"/>
    </w:rPr>
  </w:style>
  <w:style w:type="character" w:styleId="Mentionnonrsolue">
    <w:name w:val="Unresolved Mention"/>
    <w:basedOn w:val="Policepardfau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hyperlink" Target="http://www.nfp58.ch/files/downloads/NFP58_Schlussbericht_DahindenU.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hyperlink" Target="https://religionskunde.ch/images/Ausgaben_ZFRK/Rubriken/2015_01_zfrk_rdsr_einleitung_introduction.pdf" TargetMode="External"/><Relationship Id="rId2" Type="http://schemas.openxmlformats.org/officeDocument/2006/relationships/customXml" Target="../customXml/item2.xml"/><Relationship Id="rId16" Type="http://schemas.openxmlformats.org/officeDocument/2006/relationships/hyperlink" Target="http://nbn-resolving.de/urn:nbn:de:gbv:46-00103350-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20.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65B0C772-D368-9F43-AF8B-0367AB7CC15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2255</Words>
  <Characters>12204</Characters>
  <Application>Microsoft Office Word</Application>
  <DocSecurity>0</DocSecurity>
  <Lines>244</Lines>
  <Paragraphs>115</Paragraphs>
  <ScaleCrop>false</ScaleCrop>
  <Company>Hewlett-Packard</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HEP-VD</dc:creator>
  <cp:lastModifiedBy>Anonyme</cp:lastModifiedBy>
  <cp:revision>2</cp:revision>
  <dcterms:created xsi:type="dcterms:W3CDTF">2024-05-23T09:10:00Z</dcterms:created>
  <dcterms:modified xsi:type="dcterms:W3CDTF">2024-05-23T09:10:00Z</dcterms:modified>
</cp:coreProperties>
</file>